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64" w:rsidRDefault="009E61E1">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E11C64" w:rsidRDefault="00E11C64">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E11C64" w:rsidRPr="009E61E1">
        <w:trPr>
          <w:trHeight w:val="300"/>
        </w:trPr>
        <w:tc>
          <w:tcPr>
            <w:tcW w:w="5230" w:type="dxa"/>
            <w:tcBorders>
              <w:top w:val="nil"/>
              <w:left w:val="nil"/>
              <w:bottom w:val="single" w:sz="6" w:space="0" w:color="auto"/>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24.07.2025</w:t>
            </w:r>
          </w:p>
        </w:tc>
      </w:tr>
      <w:tr w:rsidR="00E11C64" w:rsidRPr="009E61E1">
        <w:tblPrEx>
          <w:tblBorders>
            <w:bottom w:val="none" w:sz="0" w:space="0" w:color="auto"/>
          </w:tblBorders>
        </w:tblPrEx>
        <w:trPr>
          <w:trHeight w:val="300"/>
        </w:trPr>
        <w:tc>
          <w:tcPr>
            <w:tcW w:w="5230" w:type="dxa"/>
            <w:tcBorders>
              <w:top w:val="nil"/>
              <w:left w:val="nil"/>
              <w:bottom w:val="nil"/>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 реєстрації особою електронного документа)</w:t>
            </w:r>
          </w:p>
        </w:tc>
      </w:tr>
      <w:tr w:rsidR="00E11C64" w:rsidRPr="009E61E1">
        <w:trPr>
          <w:trHeight w:val="300"/>
        </w:trPr>
        <w:tc>
          <w:tcPr>
            <w:tcW w:w="5230" w:type="dxa"/>
            <w:tcBorders>
              <w:top w:val="nil"/>
              <w:left w:val="nil"/>
              <w:bottom w:val="single" w:sz="6" w:space="0" w:color="auto"/>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19/325</w:t>
            </w:r>
          </w:p>
        </w:tc>
      </w:tr>
      <w:tr w:rsidR="00E11C64" w:rsidRPr="009E61E1">
        <w:trPr>
          <w:trHeight w:val="300"/>
        </w:trPr>
        <w:tc>
          <w:tcPr>
            <w:tcW w:w="5230" w:type="dxa"/>
            <w:tcBorders>
              <w:top w:val="nil"/>
              <w:left w:val="nil"/>
              <w:bottom w:val="nil"/>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(вихідний реєстраційний номер електронного документа)</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E11C64" w:rsidRPr="009E61E1">
        <w:trPr>
          <w:trHeight w:val="300"/>
        </w:trPr>
        <w:tc>
          <w:tcPr>
            <w:tcW w:w="10465" w:type="dxa"/>
            <w:tcBorders>
              <w:top w:val="nil"/>
              <w:left w:val="nil"/>
              <w:bottom w:val="nil"/>
              <w:right w:val="nil"/>
            </w:tcBorders>
            <w:vAlign w:val="bottom"/>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E11C64" w:rsidRPr="009E61E1">
        <w:trPr>
          <w:trHeight w:val="200"/>
        </w:trPr>
        <w:tc>
          <w:tcPr>
            <w:tcW w:w="3415" w:type="dxa"/>
            <w:tcBorders>
              <w:top w:val="nil"/>
              <w:left w:val="nil"/>
              <w:bottom w:val="single" w:sz="6" w:space="0" w:color="auto"/>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Генеральний директор</w:t>
            </w:r>
          </w:p>
        </w:tc>
        <w:tc>
          <w:tcPr>
            <w:tcW w:w="216" w:type="dxa"/>
            <w:tcBorders>
              <w:top w:val="nil"/>
              <w:left w:val="nil"/>
              <w:bottom w:val="nil"/>
              <w:right w:val="nil"/>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334" w:type="dxa"/>
            <w:tcBorders>
              <w:top w:val="nil"/>
              <w:left w:val="nil"/>
              <w:bottom w:val="single" w:sz="6" w:space="0" w:color="auto"/>
              <w:right w:val="nil"/>
            </w:tcBorders>
            <w:vAlign w:val="bottom"/>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216" w:type="dxa"/>
            <w:tcBorders>
              <w:top w:val="nil"/>
              <w:left w:val="nil"/>
              <w:bottom w:val="nil"/>
              <w:right w:val="nil"/>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284" w:type="dxa"/>
            <w:tcBorders>
              <w:top w:val="nil"/>
              <w:left w:val="nil"/>
              <w:bottom w:val="single" w:sz="6" w:space="0" w:color="auto"/>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Володимир НЕТЯГА</w:t>
            </w:r>
          </w:p>
        </w:tc>
      </w:tr>
      <w:tr w:rsidR="00E11C64" w:rsidRPr="009E61E1">
        <w:trPr>
          <w:trHeight w:val="200"/>
        </w:trPr>
        <w:tc>
          <w:tcPr>
            <w:tcW w:w="3415" w:type="dxa"/>
            <w:tcBorders>
              <w:top w:val="nil"/>
              <w:left w:val="nil"/>
              <w:bottom w:val="nil"/>
              <w:right w:val="nil"/>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(посада)</w:t>
            </w:r>
          </w:p>
        </w:tc>
        <w:tc>
          <w:tcPr>
            <w:tcW w:w="216" w:type="dxa"/>
            <w:tcBorders>
              <w:top w:val="nil"/>
              <w:left w:val="nil"/>
              <w:bottom w:val="nil"/>
              <w:right w:val="nil"/>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334" w:type="dxa"/>
            <w:tcBorders>
              <w:top w:val="nil"/>
              <w:left w:val="nil"/>
              <w:bottom w:val="nil"/>
              <w:right w:val="nil"/>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284" w:type="dxa"/>
            <w:tcBorders>
              <w:top w:val="nil"/>
              <w:left w:val="nil"/>
              <w:bottom w:val="nil"/>
              <w:right w:val="nil"/>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(прізвище та ініціали керівника або уповноваженої особи)</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"Запорiжсклофлюс" (00293255)</w:t>
      </w: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2024 рік</w:t>
      </w:r>
    </w:p>
    <w:p w:rsidR="00E11C64" w:rsidRDefault="00E11C64">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17.07.2025, Протокол № 1/2025</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E11C64" w:rsidRPr="009E61E1">
        <w:trPr>
          <w:trHeight w:val="300"/>
        </w:trPr>
        <w:tc>
          <w:tcPr>
            <w:tcW w:w="3415" w:type="dxa"/>
            <w:vMerge w:val="restart"/>
            <w:tcBorders>
              <w:top w:val="nil"/>
              <w:left w:val="nil"/>
              <w:bottom w:val="nil"/>
              <w:right w:val="nil"/>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https://www.steklo-flus.com/about-ua/minfosharer-ua.html</w:t>
            </w:r>
          </w:p>
        </w:tc>
        <w:tc>
          <w:tcPr>
            <w:tcW w:w="1885" w:type="dxa"/>
            <w:tcBorders>
              <w:top w:val="nil"/>
              <w:left w:val="nil"/>
              <w:bottom w:val="single" w:sz="6" w:space="0" w:color="auto"/>
              <w:right w:val="nil"/>
            </w:tcBorders>
            <w:vAlign w:val="bottom"/>
          </w:tcPr>
          <w:p w:rsidR="00E11C64" w:rsidRPr="009E61E1" w:rsidRDefault="00050D74" w:rsidP="00050D7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Pr>
                <w:rFonts w:ascii="Times New Roman CYR" w:eastAsiaTheme="minorEastAsia" w:hAnsi="Times New Roman CYR" w:cs="Times New Roman CYR"/>
                <w:sz w:val="24"/>
                <w:szCs w:val="24"/>
                <w:lang w:val="uk-UA"/>
              </w:rPr>
              <w:t>30</w:t>
            </w:r>
            <w:r w:rsidR="009E61E1" w:rsidRPr="009E61E1">
              <w:rPr>
                <w:rFonts w:ascii="Times New Roman CYR" w:eastAsiaTheme="minorEastAsia" w:hAnsi="Times New Roman CYR" w:cs="Times New Roman CYR"/>
                <w:sz w:val="24"/>
                <w:szCs w:val="24"/>
              </w:rPr>
              <w:t>.07.2025</w:t>
            </w:r>
          </w:p>
        </w:tc>
      </w:tr>
      <w:tr w:rsidR="00E11C64" w:rsidRPr="009E61E1">
        <w:trPr>
          <w:trHeight w:val="300"/>
        </w:trPr>
        <w:tc>
          <w:tcPr>
            <w:tcW w:w="3415" w:type="dxa"/>
            <w:vMerge/>
            <w:tcBorders>
              <w:top w:val="nil"/>
              <w:left w:val="nil"/>
              <w:bottom w:val="nil"/>
              <w:right w:val="nil"/>
            </w:tcBorders>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sz w:val="20"/>
                <w:szCs w:val="20"/>
              </w:rPr>
            </w:pPr>
          </w:p>
        </w:tc>
        <w:tc>
          <w:tcPr>
            <w:tcW w:w="5165" w:type="dxa"/>
            <w:tcBorders>
              <w:top w:val="nil"/>
              <w:left w:val="nil"/>
              <w:bottom w:val="nil"/>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(URL-адреса вебсайту)</w:t>
            </w:r>
          </w:p>
        </w:tc>
        <w:tc>
          <w:tcPr>
            <w:tcW w:w="1885" w:type="dxa"/>
            <w:tcBorders>
              <w:top w:val="nil"/>
              <w:left w:val="nil"/>
              <w:bottom w:val="nil"/>
              <w:right w:val="nil"/>
            </w:tcBorders>
            <w:vAlign w:val="bottom"/>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iнформацiї (вiдповiдно до змiсту), який не розкривається Товариством згiдно до норм законодавства: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Роздiл 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1.2. Iнформацiя щодо усiх випускiв цiнних паперiв, за якими надається забезпечення не заповнюється, у зв'язку iз тим, що ПрАТ "Запорiжсклофлюс", надалi - Емiтент або Товариство, не є особою, яка надає забезпечення..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 Iнформацiя щодо всiх осiб, якi надають забезпечення за зобов'язаннями Емiтента не розкривається у зв'язку iз вiдсутнiстю таких осiб.</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1.5.  Iнформацiя про рейтингове агентство не надається, тому що за звiтний перiод Емiтент рейтингову оцiнку не проводив та послугами рейтингових агенств не користувався.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1.6. Iнформацiя про судовi справи емiтента, за якими розглядаються позовнi вимоги у розмiрi на суму 1 та бiльше вiдсоткiв активiв емiтента або дочiрнього пiдприємства станом на початок звiтного року, стороною в яких виступає емiтент, його дочiрнi пiдприємства, посадовi особи - зазначенi судовi справи вiдсутнi в Товариствi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4.6, 4.7. не заповнюється  тому, що дiяльнiсть Товариства не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5.  Вiдомостi щодо участi Емiтента в створеннi юридичних осiб вiдсутнi, оскiльки Емiтент не брав участi у створеннi будь-яких юридичних осiб.</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6.  Iнформацiя про наявнiсть фiлiй або iнших вiдокремлених структурних пiдроздiлiв Емiтента не надається у зв'язку з їх вiдсутнiстю в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II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2. Змiна прав на акцiї Емiтента протягом звiтного перiоду не вiдбувалась, тому iнформацiя про змiну прав на акцiї не надається.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3.3.-3.6. Емiтент не надає iнформацiю про облiгацiї емiтента, iнформацiю про iншi цiннi папери, випущенi емiтентом, iнформацiю про деривативнi цiннi папери та борговi цiннi папери,  оскiльки облiгацiї, деривативнi цiннi папери, борговi та iншi цiннi папери, крiм акцiй, Емiтентом не випускались.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3.7. Емiтент не надає звiт про стан об'єкта нерухомостi у зв'язку з тим, що в звiтному перiодi Емiтент не здiйснював емiсiю цiльових корпоративних облiгацiй, виконання зобов'язань за якими здiйснюється шляхом передачi об'єкта (частини об'єкта) житлового будiвництва.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3.8. Протягом звiтного перiоду Емiтент не здiйснював придбання власних акцiй, тому iнформацiя про придбання власниих акцiй протягом звiтного перiоду не заповнюється.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3.9. Iнформацiя про наявнiсть у власностi працiвникiв емiтента цiнних паперiв (крiм акцiй) емiтента, не надається, оскiльки Емiтент здiйснював лише випуск акцiй.</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3.11.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не надаєтьсяї, оскiльки у емiтента вiдсутнi будь-якi обмеження щодо обiгу цiнних </w:t>
      </w:r>
      <w:r>
        <w:rPr>
          <w:rFonts w:ascii="Times New Roman CYR" w:hAnsi="Times New Roman CYR" w:cs="Times New Roman CYR"/>
          <w:sz w:val="24"/>
          <w:szCs w:val="24"/>
        </w:rPr>
        <w:lastRenderedPageBreak/>
        <w:t>паперiв, в тому числi необхiднiсть отримання вiд емiтента або iнших власникiв цiнних паперiв згоди на вiдчуження таких цiнних паперiв.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4.1, 4.2, Iнформацiя, зазначена в даних пунктах,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4.3, Iнформацiя, зазначена в даному пунктi,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4.4.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Емiтентом не подається, тому що Товариство не є фiнансовою установою.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Роздiл III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п.5.1. Iнформацiя про прийняття рiшення про попереднє надання згоди на вчинення значних правочинiв не розкривається, тому що у звiтному перiодi Загальнi збори не проводилися та такого рiшення не було прийнято.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п.5.2.- 5.3.  Iнформацiя, зазначена в даних пунктах,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п.6. Iнформацiя, зазначена в данному пунктi,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06.06.2023року.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IV.</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1.1.1.5. Iнформацiя про практику корпоративного управлiння особи. Рада директорiв не заповнюється, оскiльки у Емiтента дворiвнева структура управлiння.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1.1.2.. Iнформацiя про Загальнi збори акцiонерiв та загальний опис прийнятих на них рiшень не заповнюється у зв'язку iз тим, що у звiтному роцi Загальнi збори акцiонерiв не проводилися.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1.1.3.  Iнформацiя про збори власникiв облiгацiй та загальний опис прийнятих на таких зборах рiшень не заповнюється у зв'язку iз тим, що Емiтент не здiйснював випуск облiгацiй.</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п.1.1.4.3. Iнформацiя про проведенi засiдання комiтетiв ради та загальний опис прийнятих рiшень не заповнюється у зв'язку з вiсутнiстю таких комiтетiв.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1.1.5.3. Емiтент не надає iнформацiю про проведенi засiдання комiтетiв колегiального виконавчого органу та загальний опис прийнятих рiшень з причин вiдсутностi комiтетiв у складi Дирекцiї.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1.1.5.4. Емiтент не має одноосiбного виконавчого органу, тому загальний опис прийнятих рiшень не надається.. Виконавчий орган є колегiальним.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1.1.7. Iнформацiя щодо опису основних характеристик систем внутрiшнього контролю особи не надається, тому що у Товариства вiдсутня така система.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1.1.8. Iнформацiя, зазначена в цьому пунктi,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1.1.11. Iнформацiя про винагороду членiв виконавчого органу та/або ради особи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1.1.12. Iнформацiя про Полiтику розкриття iнформацiї не заповнюється у зв'язку iз тим, що Полiтика розкриття iнформацiї не затверджувалась у звiтному перiодi.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1.1.13. Iнформаця про радника не заповнюється з причин вiдсутностi такої посади у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1.1.14. Iнформацiя, зазначена в цьому пунктi, не розкривається приватними акцiонерними товариствами вiдповiдно до пункту 45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п.1.1.15. Iнформацiя, зазначена в цьому пунктi, не заповнюється, тому що Емiтент не є фiнансовою установою.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1.3.1. Iнформацiя не заповнюється Емiтентом, у зв'язку iз вiдсутнiстю в структурi власностi Емiтента фiзичних осiб, якi мають громадянство iноземної держави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1.3.2. Iнформацiя не заповнюється Емiтентом, у зв'язку iз вiдсутнiстю в структурi власностi Емiтента фiзичних осiб, постiйним мiсцем проєживання якиє є iноземнi держави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пп.1.3.3. - 1.3.4. Iнформацiя не заповнюється Емiтентом, у зв'язку iз вiдсутнiстю в структурi власностi Емiтента юридичних осiб, мiсцем реєстрацiї яких є iноземнi держави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1.3.5. Iнформацiя не заповнюється Емiтентом, у зв'язку iз вiдсутнiстю в структурi власностi Емiтента фiзичних осiб, якi маються громадянство iноземної держави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1.3.6 - 1.3.7. Iнформацiя не заповнюється Емiтентом у зв'язку iз вiдсутнiстю у Емiтента дiлових вiдносин iз вказаними особами.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1.3.8. Iнформацiя в цьому пунктi не заповнюється, у зв'язку iз вiдсутнiстю дочiрнiх компанiй/пiдприємств, фiлiй, представництв та/або iнших вiдокремлених пiдроздiлiв емiтента на територiї держави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1.3.9. Емiтент не заповнює iнформацiю щодо наявностi юридичних осiб, засновником, учасником, акцiонером яких є емiтент разом з особами, визначеними пiдпунктами 1-3 пункту 47 Положення, у зв'язку iз вiдсутнiстю таких осiб.</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1.3.10. Емiтент не заповнює перелiк засновникiв, акцiонерiв, учасникiв, що вiдноситься до iнформацiї щодо наявностi юридичних осiб, засновником, учасником, акцiонером яких є Емiтент разом з особами, визначеними пiдпунктами 1-3 пункту 47 Положення, у зв'язку iз вiдсутнiстю таких осiб.</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1.3.11. Емiтент не заповнює iнформацiю щодо наявностi у емiтента корпоративних прав в юридичнiй особi, зареєстрованiй в iноземнiй державi зони ризику., у зв'язку iз вiдсутнiстю у Емiтента корпоративних прав в юридичнiй особi,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п.1.3.12. Емiтент не заповнює iнформацiю щодо наявностi у емiтента цiнних паперiв (крiм акцiй) юридичної особи, яка зареєстрованiй в iноземнiй державi зони ризику у зв'язку iз вiдсутнiстю у Емiтента цiнних паперiв (крiм акцiй) юридичної особи, зареєстрованої в iноземнiй державi зони ризику.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2.1. Товариство не мало акцiонерних або корпоративних договорiв, укладених акцiонерами (учасниками) Товариства протягом звiтного перiоду..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2.2. Iнформацiя про будь-якi договори та/або правочини, умовою чинностi яких є незмiннiсть осiб, якi здiйснюють контроль над емiтентом, не надається за вiдсутнiстю таких договорiв та/або правочинiв у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 2.3. Iнформацiя про будьякi винагороди або компенсацiї, якi мають бути виплаченi посадовим особам емiтента в разi їх звiльнення  не розкривається приватними акцiонерними товариствами вiдповiдно до пп. 5), пункту 48 "Положення про розкриття iнформацiї емiтентами цiнних паперiв, а також особами, якi надають забезпечення за такими цiнними паперами" № 608, затвердженого Рiшенням НКЦПФР 06.06.2023р.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3. Iнформацiя про дивiдендну полiтику не заповнюється, у зв'язку iз вiдсутнiстю затвердженої дивiдендної полiтики у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 4. Емiтент не здiйснював нарахування та виплату дивiдентiв та iнших доходiв за цiнними паперами у звiтному перiодi, тому така iнформацiя не розкривається.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V. Емiтет не надає iнформацiю, передбачену роздiлом V Змiсту, оскiльки не є емiтентом iпотечних сертифiкатiв, iпотечних облiгацiй, сертифiкатiв ФОН.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VI. Емiтент не надає iнформацiю оскiльки протягом звiтного року у Емiтента не розкривалася регульована iнформацiя.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VII. Емiтент не надає iнформацiю. передбачену у роздiлii VII Змiсту, оскiльки Емiтент не є поручителем (страховиком/гарантом), що здiйснює забезпечення випуску боргових цiнних паперiв, а тому на нього не поширюються вимоги щодо розкриття такої рiчної iнформацiї.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9B2419" w:rsidRPr="009B2419" w:rsidRDefault="009B2419">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доходу за видами діяльності особи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Річна фінансова звітність</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Аудиторський звіт до річної фінансової звітності</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звіт про сталий розвиток</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Перелік посилань на внутрішні документи особи, що розміщені на вебсайті особи</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Приватне акцiонерне товариство "Запорiжсклофлюс"</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ПрАТ "Запорiжсклофлюс"</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00293255</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30.12.1994</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69035, Україна, Запорізька обл., Заводський р-н, Запорiжжя, Дiагональна, 2. Фактичне: 69035, Україна, Запорізька обл., Заводський р-н, Запорiжжя, Дiагональна, 2</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paper@steklo.zp.ua</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V</w:t>
            </w:r>
            <w:r w:rsidRPr="009E61E1">
              <w:rPr>
                <w:rFonts w:ascii="Times New Roman CYR" w:eastAsiaTheme="minorEastAsia" w:hAnsi="Times New Roman CYR" w:cs="Times New Roman CYR"/>
                <w:sz w:val="24"/>
                <w:szCs w:val="24"/>
              </w:rPr>
              <w:tab/>
              <w:t>Емітент</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Особа, яка надає забезпечення</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Так</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V</w:t>
            </w:r>
            <w:r w:rsidRPr="009E61E1">
              <w:rPr>
                <w:rFonts w:ascii="Times New Roman CYR" w:eastAsiaTheme="minorEastAsia" w:hAnsi="Times New Roman CYR" w:cs="Times New Roman CYR"/>
                <w:sz w:val="24"/>
                <w:szCs w:val="24"/>
              </w:rPr>
              <w:tab/>
              <w:t>Ні</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Велике</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Середнє</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V</w:t>
            </w:r>
            <w:r w:rsidRPr="009E61E1">
              <w:rPr>
                <w:rFonts w:ascii="Times New Roman CYR" w:eastAsiaTheme="minorEastAsia" w:hAnsi="Times New Roman CYR" w:cs="Times New Roman CYR"/>
                <w:sz w:val="24"/>
                <w:szCs w:val="24"/>
              </w:rPr>
              <w:tab/>
              <w:t>Мале</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Мікро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contact@steklo.zp.ua</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https://www.steklo-flus.com</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(061)2397061</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109470,16</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200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20.59. - Виробництво iншої хiмiчної продукцiї,н.в.i.у.</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20.13. - Виробництво iнших основних неорганiчних хiмiчних речовин</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23.13. - Виробництво порожнистого скла</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Однорівнева</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V</w:t>
            </w:r>
            <w:r w:rsidRPr="009E61E1">
              <w:rPr>
                <w:rFonts w:ascii="Times New Roman CYR" w:eastAsiaTheme="minorEastAsia" w:hAnsi="Times New Roman CYR" w:cs="Times New Roman CYR"/>
                <w:sz w:val="24"/>
                <w:szCs w:val="24"/>
              </w:rPr>
              <w:tab/>
              <w:t>Дворівнева</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b/>
              <w:t>Інше</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Повне найменування (в т.ч. </w:t>
            </w:r>
            <w:r w:rsidRPr="009E61E1">
              <w:rPr>
                <w:rFonts w:ascii="Times New Roman CYR" w:eastAsiaTheme="minorEastAsia"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 xml:space="preserve">ФЗАПОРIЗЬКЕ ОБЛАСНЕ АТ"ДЕРЖАВНИЙ ОЩАДНИЙ </w:t>
            </w:r>
            <w:r w:rsidRPr="009E61E1">
              <w:rPr>
                <w:rFonts w:ascii="Times New Roman CYR" w:eastAsiaTheme="minorEastAsia" w:hAnsi="Times New Roman CYR" w:cs="Times New Roman CYR"/>
                <w:sz w:val="24"/>
                <w:szCs w:val="24"/>
              </w:rPr>
              <w:lastRenderedPageBreak/>
              <w:t>БАНК УКРАЇНИ".</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02760363</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UA323139570000026000300303055</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 долар США, ЄВРО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"БАНК КРЕДИТ ДНIПРО"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14352406</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UA87305749000000260000849701</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 долар США, ЄВРО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"УкрСиббанк"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09807750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UA87351005000002644617360400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"СЕНС 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23494714</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UA113003460000026040024026901</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 долар США, ЄВРО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"СЕНС 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23494714</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UA333003460000025040024026901</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"СЕНС 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23494714</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UA2930034600000126005024026902</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ЄВРО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ФЗАПОРIЗЬКЕ ОБЛАСНЕ АТ "ДЕРЖАВНИЙ ОЩАДНИЙ БАНК УКРАЇНИ"</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02760363</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UA893139570000026044300303055</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"УкрСиббанк"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14352406</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UA303510050000026000617360400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 долар США, ЄВРО</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АТ "УкрСиббанк"</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09807750</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UA833510050000026009617360401</w:t>
            </w:r>
          </w:p>
        </w:tc>
      </w:tr>
      <w:tr w:rsidR="00E11C64" w:rsidRPr="009E61E1">
        <w:trPr>
          <w:trHeight w:val="300"/>
        </w:trPr>
        <w:tc>
          <w:tcPr>
            <w:tcW w:w="5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українська гривня</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Інформація про виконання</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r>
      <w:tr w:rsidR="00E11C64" w:rsidRPr="009E61E1">
        <w:trPr>
          <w:trHeight w:val="300"/>
        </w:trPr>
        <w:tc>
          <w:tcPr>
            <w:tcW w:w="5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00221182411</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05.12.2024</w:t>
            </w:r>
          </w:p>
        </w:tc>
        <w:tc>
          <w:tcPr>
            <w:tcW w:w="2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Головне управлiння ДПС у Запорiзькiй областi</w:t>
            </w:r>
          </w:p>
        </w:tc>
        <w:tc>
          <w:tcPr>
            <w:tcW w:w="2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Порушено термiни подання податкового розрахунку сум доходу, нарахованого (сплаченого) на користь платникiв податкiв- фiзичних осiб сум утриманого з них податку, а також сум нарахованого єдиного внеску за III квартал 2022 року  штраф у сумi 1020,00 грн.</w:t>
            </w:r>
          </w:p>
        </w:tc>
        <w:tc>
          <w:tcPr>
            <w:tcW w:w="44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На пiдставi пiдпункту 54.3.3 пункту 54.3 статтi 54 i пунктiв: пункту 20.1.4 пункту 20.1 статтi 20 роздiлу I, пункту 75.1 статтi 75 роздiлу II, в термiни, встановленi абз.2 пункту 76.3 статтi 76 роздiлу  I, пункту 119.1 статтi 119 Податкового кодексу України вiд 02.12.2010 №2755-VI зi змiнами та доповненнями застосовано штрафнi санкцiї у сумi 1020 грн.</w:t>
            </w:r>
          </w:p>
        </w:tc>
        <w:tc>
          <w:tcPr>
            <w:tcW w:w="38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За порушення термiну подання податкового розрахунку сум доходу, нарахованого (сплаченого) на користь платникiв податкiв- фiзичних осiб сум утриманого з них податку, а також сум нарахованого єдиного внеску за III квартал 2022 року  Товариством сплачено штраф у сумi 1020,00 грн.</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sectPr w:rsidR="00E11C64">
          <w:pgSz w:w="16837" w:h="11905" w:orient="landscape"/>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Персональний склад органу управління (контролю)</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Загальнi збори акцiонерiв Товариства</w:t>
            </w:r>
          </w:p>
        </w:tc>
        <w:tc>
          <w:tcPr>
            <w:tcW w:w="4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Загальнi збори є Вищим органом Товариства, до складу якого вiдносяться всi акцiонери. якi включенi до перелiку акцiонерiв Товариства.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 Загальних зборах акцiонерiв Товариства можуть брати участь особи, включенi до перелiку акцiонерiв, якi мають право на таку участь, або їх уповноваженi представники.</w:t>
            </w:r>
          </w:p>
        </w:tc>
      </w:tr>
      <w:tr w:rsidR="00E11C64" w:rsidRPr="009E61E1">
        <w:trPr>
          <w:trHeight w:val="200"/>
        </w:trPr>
        <w:tc>
          <w:tcPr>
            <w:tcW w:w="5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Наглядова рада Товариства</w:t>
            </w:r>
          </w:p>
        </w:tc>
        <w:tc>
          <w:tcPr>
            <w:tcW w:w="4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Наглядова рада є колегiальним органом управлiннi, що здiйснює захист прав та законних iнтересiв акцiонерiв i контролює та регулює дiяльнiсть Виконавчого органу. Вiдповiдно до статуту складається з Голови Наглядової ради та 2-х членiв.</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Голова наглядової ради - Оселедчик Сергiй Юрiйович, Член Наглядової ради - Мiрiленко Людмила Миколаївна, Член Наглядової ради - Лисцев Олександр Сергiйович.</w:t>
            </w:r>
          </w:p>
        </w:tc>
      </w:tr>
      <w:tr w:rsidR="00E11C64" w:rsidRPr="009E61E1">
        <w:trPr>
          <w:trHeight w:val="200"/>
        </w:trPr>
        <w:tc>
          <w:tcPr>
            <w:tcW w:w="5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Дирекцiя Товариства</w:t>
            </w:r>
          </w:p>
        </w:tc>
        <w:tc>
          <w:tcPr>
            <w:tcW w:w="4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Дирекцiя є колегiальним органом управлiннi, що здiйснює управлiння поточною дiяльнiстю Товариства. Дирекцiя складається з 3-х членiв: Генеральний  директор та 2 члени Дирекцiї,</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Генеральний директор - Нетяга Володимир Iванович, Член Дирекцiї - Щебетун Марiя Олександрiвна, Член Дирекцiї -Гулiдов Дмитро Iванович.</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Непогашена судимість за корисливі та посадові злочини (Так/Ні)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11</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Голова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Оселедчик Сергiй Юрiйович</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38</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ТОВ "Укртрейдiнвестпроект", генеральний директор.</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34067094</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ТОВ "Укртрейдiнвестпроект", генеральний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15.06.2023</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15.06.2026</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Мiрiленко Людмила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1954</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50</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пiдготовки кадрiв</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пiдготовки кадрiв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15.06.2023</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15.06.2026</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наглядовой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Лисцев Олександр Сергiйович</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20</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економiчної безпеки</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економiчної безпеки</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15.06.2023</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15.06.2026</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bl>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Непогашена судимість за корисливі та посадові злочини (Так/Ні)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11</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Нетяга Володимир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48</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заступник генерального директора по ЗЕЗтаМ, тимчасово виконуючий повноваження генерального директора</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xml:space="preserve">ПрАТ "Запорiжсклофлюс", тимчасово виконуючий повноваження генерального </w:t>
            </w:r>
            <w:r w:rsidRPr="009E61E1">
              <w:rPr>
                <w:rFonts w:ascii="Times New Roman CYR" w:eastAsiaTheme="minorEastAsia" w:hAnsi="Times New Roman CYR" w:cs="Times New Roman CYR"/>
                <w:sz w:val="20"/>
                <w:szCs w:val="20"/>
              </w:rPr>
              <w:lastRenderedPageBreak/>
              <w:t>директора</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lastRenderedPageBreak/>
              <w:t>03.09.2021</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до припинення повноважень</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lastRenderedPageBreak/>
              <w:t>2</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Дирекцiї</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Щебетун Марiя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1939</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67</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заступник генерального директора з економiки.</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xml:space="preserve">ПрАТ "Запорiжсклофлюс", заступник генерального директора з економiки. </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24.04.2019</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24.04.2024</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Дирекцiї</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Гулiдов Дмитро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1941</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Середньо-технiчна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66</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штабу цивiльної оборони та нвдзвичайних ситуацiй.</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штабу цивiльної оборони та нвдзвичайних ситуацiй.</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24.04.2019</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24.04.2024</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bl>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Непогашена судимість за корисливі та посадові злочини (Так/Ні)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11</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Врублевська Тетяна Вiкторiвна</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1962</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43</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цiнних паперiв</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начальник вiддiлу цiнних паперiв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01.08.2023</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01.08.2028</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r w:rsidR="00E11C64" w:rsidRPr="009E61E1">
        <w:trPr>
          <w:trHeight w:val="2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Виконуючий обовязки головного бухгалтера</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Хижняк Свiтлана Вiкторiвна</w:t>
            </w:r>
          </w:p>
        </w:tc>
        <w:tc>
          <w:tcPr>
            <w:tcW w:w="11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27</w:t>
            </w:r>
          </w:p>
        </w:tc>
        <w:tc>
          <w:tcPr>
            <w:tcW w:w="3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заступник  головного бухгалтера</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ПрАТ "Запорiжсклофлюс", заступник головного бухгалтера.</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10.01.2023</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до припинення повноважень</w:t>
            </w:r>
          </w:p>
        </w:tc>
        <w:tc>
          <w:tcPr>
            <w:tcW w:w="14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Ні</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350"/>
        <w:gridCol w:w="2250"/>
        <w:gridCol w:w="1300"/>
        <w:gridCol w:w="1300"/>
        <w:gridCol w:w="1200"/>
        <w:gridCol w:w="4700"/>
        <w:gridCol w:w="1400"/>
        <w:gridCol w:w="1900"/>
      </w:tblGrid>
      <w:tr w:rsidR="00E11C64" w:rsidRPr="009E61E1">
        <w:trPr>
          <w:trHeight w:val="200"/>
        </w:trPr>
        <w:tc>
          <w:tcPr>
            <w:tcW w:w="13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Стаж роботи (років)</w:t>
            </w:r>
          </w:p>
        </w:tc>
        <w:tc>
          <w:tcPr>
            <w:tcW w:w="4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Контактні дані (телефон та адреса електронної пошти корпоративного секретаря)</w:t>
            </w:r>
          </w:p>
        </w:tc>
      </w:tr>
      <w:tr w:rsidR="00E11C64" w:rsidRPr="009E61E1">
        <w:trPr>
          <w:trHeight w:val="200"/>
        </w:trPr>
        <w:tc>
          <w:tcPr>
            <w:tcW w:w="13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4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19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r>
      <w:tr w:rsidR="00E11C64" w:rsidRPr="009E61E1">
        <w:trPr>
          <w:trHeight w:val="200"/>
        </w:trPr>
        <w:tc>
          <w:tcPr>
            <w:tcW w:w="13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01.08.2023</w:t>
            </w:r>
          </w:p>
        </w:tc>
        <w:tc>
          <w:tcPr>
            <w:tcW w:w="22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Врублевська Тетяна Вiкторiвна</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43</w:t>
            </w:r>
          </w:p>
        </w:tc>
        <w:tc>
          <w:tcPr>
            <w:tcW w:w="4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Приватне акцiонерне товариство "Запорiжсклофлюс"</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lastRenderedPageBreak/>
              <w:t>00293255</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начальник вiддiлу цiнних паперiв</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lastRenderedPageBreak/>
              <w:t>Ні</w:t>
            </w:r>
          </w:p>
        </w:tc>
        <w:tc>
          <w:tcPr>
            <w:tcW w:w="19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(061)2397072</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раper@steklo.zp.ua</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2500"/>
        <w:gridCol w:w="1625"/>
        <w:gridCol w:w="1625"/>
        <w:gridCol w:w="1625"/>
        <w:gridCol w:w="1625"/>
        <w:gridCol w:w="1700"/>
        <w:gridCol w:w="1700"/>
      </w:tblGrid>
      <w:tr w:rsidR="00E11C64" w:rsidRPr="009E61E1">
        <w:trPr>
          <w:trHeight w:val="300"/>
        </w:trPr>
        <w:tc>
          <w:tcPr>
            <w:tcW w:w="550" w:type="dxa"/>
            <w:vMerge w:val="restart"/>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Кількість за типами акцій</w:t>
            </w:r>
          </w:p>
        </w:tc>
      </w:tr>
      <w:tr w:rsidR="00E11C64" w:rsidRPr="009E61E1">
        <w:trPr>
          <w:trHeight w:val="300"/>
        </w:trPr>
        <w:tc>
          <w:tcPr>
            <w:tcW w:w="550" w:type="dxa"/>
            <w:vMerge/>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привілейовані іменні</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9</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Генеральний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Нетяга Володимир Iванович</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1 062 074</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19,403899</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1 062 074</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дирекцiї</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Щебетун Марiя Олександрiвна</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дирекцiї</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Гулiдов Дмитро Iванович</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522</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0,009536</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522</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Голова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Оселедчик Сергiй Юрiйович</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12 724</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0,232465</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12 724</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Мiрiленко Людмила Миколаївна</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596 933</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10,905857</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596 933</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Лисцев Олександр Сергiйович</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80 076</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1,462974</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80 076</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7</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Корпоративний секретар</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Врублевська Тетяна Вiкторiвна</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20 890</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0,381656</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20 890</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r w:rsidR="00E11C64" w:rsidRPr="009E61E1">
        <w:trPr>
          <w:trHeight w:val="300"/>
        </w:trPr>
        <w:tc>
          <w:tcPr>
            <w:tcW w:w="5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8</w:t>
            </w:r>
          </w:p>
        </w:tc>
        <w:tc>
          <w:tcPr>
            <w:tcW w:w="2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Виконуючий обовязки головного бухгалтера</w:t>
            </w:r>
          </w:p>
        </w:tc>
        <w:tc>
          <w:tcPr>
            <w:tcW w:w="2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Хижняк Свiтлана Вiкторiвна</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1 244</w:t>
            </w:r>
          </w:p>
        </w:tc>
        <w:tc>
          <w:tcPr>
            <w:tcW w:w="162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0,022727</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1 244</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9E61E1">
              <w:rPr>
                <w:rFonts w:ascii="Times New Roman CYR" w:eastAsiaTheme="minorEastAsia" w:hAnsi="Times New Roman CYR" w:cs="Times New Roman CYR"/>
                <w:sz w:val="20"/>
                <w:szCs w:val="20"/>
              </w:rPr>
              <w:t>0</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pPr>
    </w:p>
    <w:p w:rsidR="00E11C64" w:rsidRDefault="00E11C64">
      <w:pPr>
        <w:widowControl w:val="0"/>
        <w:autoSpaceDE w:val="0"/>
        <w:autoSpaceDN w:val="0"/>
        <w:adjustRightInd w:val="0"/>
        <w:spacing w:after="0" w:line="240" w:lineRule="auto"/>
        <w:rPr>
          <w:rFonts w:ascii="Times New Roman CYR" w:hAnsi="Times New Roman CYR" w:cs="Times New Roman CYR"/>
          <w:sz w:val="20"/>
          <w:szCs w:val="20"/>
        </w:rPr>
        <w:sectPr w:rsidR="00E11C64">
          <w:pgSz w:w="16837" w:h="11905" w:orient="landscape"/>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E11C64" w:rsidRPr="009B2419" w:rsidRDefault="009E61E1">
      <w:pPr>
        <w:widowControl w:val="0"/>
        <w:autoSpaceDE w:val="0"/>
        <w:autoSpaceDN w:val="0"/>
        <w:adjustRightInd w:val="0"/>
        <w:spacing w:after="0" w:line="240" w:lineRule="auto"/>
        <w:jc w:val="both"/>
        <w:rPr>
          <w:rFonts w:ascii="Times New Roman CYR" w:hAnsi="Times New Roman CYR" w:cs="Times New Roman CYR"/>
          <w:sz w:val="24"/>
          <w:szCs w:val="24"/>
          <w:lang w:val="en-US"/>
        </w:rPr>
      </w:pPr>
      <w:r w:rsidRPr="009B2419">
        <w:rPr>
          <w:rFonts w:ascii="Times New Roman CYR" w:hAnsi="Times New Roman CYR" w:cs="Times New Roman CYR"/>
          <w:sz w:val="24"/>
          <w:szCs w:val="24"/>
          <w:lang w:val="en-US"/>
        </w:rPr>
        <w:t>https://www.steklo-flus.com/images/sharer/2024/org-structure 2024-1.pdf</w:t>
      </w:r>
    </w:p>
    <w:p w:rsidR="00E11C64" w:rsidRPr="009B2419" w:rsidRDefault="00E11C64">
      <w:pPr>
        <w:widowControl w:val="0"/>
        <w:autoSpaceDE w:val="0"/>
        <w:autoSpaceDN w:val="0"/>
        <w:adjustRightInd w:val="0"/>
        <w:spacing w:after="0" w:line="240" w:lineRule="auto"/>
        <w:rPr>
          <w:rFonts w:ascii="Times New Roman CYR" w:hAnsi="Times New Roman CYR" w:cs="Times New Roman CYR"/>
          <w:sz w:val="24"/>
          <w:szCs w:val="24"/>
          <w:lang w:val="en-US"/>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https://www.steklo-flus.com/images/sharer/2024/ownership-structure2024.pdf</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"Запорiжсклофлюс" не належить до будь-яких об`єднань пiдприємств, тому iнформацiя про повне найменування та мiсцезнаходження об'єднання, опис дiяльностi об'єднання, строк участi та роль емiтента у вiдповiдному об'єднаннi та посилання на веб-сайт об'єднання вiдсутня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проводить спiльної дiяльностi з iншими органiзацiями, пiдприємствами, установами, тому вiдсутня iнформацiя щодо суми вкладiв, мети вкладiв та отримання фiнансового результату за звiтний рiк з кожного виду спiльної дiяльностi.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Товариства розроблена та затверджена керiвництвом Товариства вiдповiдно до вимог МСБО 8 "Облiковi полiтики, змiни в облiкових оцiнках та помилки" та iнших чинних МСФЗ, зокрема, МСФЗ 9 "Фiнансовi iнструменти" та МСФЗ 15 "Дохiд вiд договорiв з клiєнтами".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Загальнi положення щодо облiкових полiтик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веде бухгалтерський облiк у вiдповiдностi до вимог чинного законодавства України, Закону України "Про бухгалтерський облiк та фiнансову звiтнiсть в Українi", Мiжнародних стандартiв фiнансової звiтностi, Статуту  та Облiкової полiтики. Облiкова полiтика з 2005 року була затверджена наказом вiд 16.01.2005 р. № 2. В подальшому до облiкової полiтики були внесенi змiни та доповнення, пов'язанi зi змiною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в облiковiй полiтицi та розкриттях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обирає та застосовує свої облiковi полiтики послiдовно для подiбних операцiй, iнших подiї або умов, якщо МСФЗ конкретно не вимагає або не дозволяє визначення категорiї статей, для яких iншi полiтики можуть бути доречними.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Товариства, застосовувана в 2024 роцi вiдповiдає облiковiй полiтицi попереднього фiнансового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складаннi цiєї фiнансової звiтностi ПрАТ "Запорiжсклофлюс" використовувало тi ж самi облiковi полiтики, що i при складаннi фiнансової звiтностi за перiод, що закiнчився 31.12.2023р. Вiдповiдно до МСБО (IAS) 8 "Облiковi полiтики, змiни в облiкових оцiнках та помилки" коригування показникiв до 2023 року було проведено шляхом ретроспективного перерахування статей фiнансових звiтiв.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звiтi про фiнансовий стан Товариство представляє активи та зобов'язання на основi їх класифiкацiї на поточнi/короткостроковi та не поточнi/довгостроковi.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Актив є поточним, якщо: його передбачається реалiзувати або вiн призначений для продажу або споживання в рамках звичайного операцiйного циклу; вiн призначений в основному для цiлей торгiвлi; його передбачається реалiзувати протягом дванадцяти мiсяцiв пiсля закiнчення звiтного перiоду; вiн являє собою грошовi кошти або їх еквiваленти, за винятком випадкiв наявностi обмежень на його обмiн або використання для погашення зобов'язань протягом як мiнiмум дванадцяти мiсяцiв пiсля закiнчення звiтного перiоду. Усi iншi активи класифiкуються як не поточнi.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є поточним, якщо: його передбачається погасити в рамках звичайного операцiйного циклу; воно утримується в основному для цiлей торгiвлi; воно пiдлягає погашенню протягом дванадцяти мiсяцiв пiсля закiнчення звiтного перiоду; </w:t>
      </w:r>
      <w:r>
        <w:rPr>
          <w:rFonts w:ascii="Times New Roman CYR" w:hAnsi="Times New Roman CYR" w:cs="Times New Roman CYR"/>
          <w:sz w:val="24"/>
          <w:szCs w:val="24"/>
        </w:rPr>
        <w:tab/>
        <w:t xml:space="preserve">у компанiї вiдсутнiй безумовне право вiдстрочити </w:t>
      </w:r>
      <w:r>
        <w:rPr>
          <w:rFonts w:ascii="Times New Roman CYR" w:hAnsi="Times New Roman CYR" w:cs="Times New Roman CYR"/>
          <w:sz w:val="24"/>
          <w:szCs w:val="24"/>
        </w:rPr>
        <w:lastRenderedPageBreak/>
        <w:t xml:space="preserve">погашення зобов'язання на протязi як мiнiмум дванадцяти мiсяцiв пiсля закiнчення звiтного перiоду.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класифiкує всi iншi зобов'язання в якостi не поточних. Вiдкладенi податковi активи та зобов'язання класифiкуються як не поточнi/довгостроковi активи та зобов'язання.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 це цiна, яка була б отримана вiд продажу активу або сплачена за зобов'язанням при звичайнiй операцiї мiж учасниками ринку на дату оцiнки. Найкращим свiдченням справедливої вартостi є цiна на активному ринку. Активний ринок - це такий ринок, на якому операцiї щодо активiв i зобов'язань мають мiсце iз достатньою частотою та в достатнiх обсягах для того, щоб забезпечити iнформацiю щодо цiноутворення на поточнiй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справедливої вартостi грунтується на припущеннi, що угода щодо продажу активу або передачi зобов'язання має мiсце: Або на основному ринку для цього активу чи зобов'язання, Або у вiдсутнiсть основного ринку, в найбiльш вигiдному ринку для даного активу чи зобов'язання. Товариство повинно мати доступ до основного або найбiльш вигiдного ринку.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Справедлива вартiсть активу або зобов'язання вимiрюється за допомогою припущень, що учасники ринку повиннi використовувати при визначеннi вартостi активу або зобов'язання, якщо припустити, що учасники ринку дiють у вiдповiдностi до власних економiчних iнтересiв.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справедливої вартостi нефiнансового активу враховує здатнiсть учасника ринку генерувати економiчнi вигоди, використовуючи актив в його найкращому i найбiльш ефективному використаннi, або продаючи його iншому учаснику ринку, який буде використовувати актив в його найкращому i найбiльш ефективному використаннi.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використовує рiзнi методи оцiнки, необхiднi в даних обставинах, i для яких є достатньо даних для визначення справедливої вартостi, максимального використання вiдповiдних ринкових даних i зведення до мiнiмуму використання неочевидних даних. Всi активи та зобов'язання, справедлива вартiсть яких вимiрюється або розкривається у фiнансовiй звiтностi належать до категорiї в наведеної нижче iєрархiї справедливої вартостi, яка базується на  ступенi рiвня джерел визначення вхiдних даних для оцiнки.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1 - котирування (без коригувань) ринкової цiни на активних ринках для iдентичних активiв i зобов'язань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Рiвень 2 - методи оцiнки, в яких суттєвi для оцiнки вхiднi данi, якi вiдносяться до бiльш низького рiвня iєрархiї, є прямо або побiчно спостережуванi на ринку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3 - методи оцiнки, в яких суттєвi для оцiнки вхiднi данi, якi вiдносяться до бiльш низького рiвня iєрархiї, не є спостережуванi на ринку.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метою розкриття справедливої  вартостi, Товариство визначило класи активiв i зобов'язань на основi природних характеристик та ризикiв активу або зобов'язання i рiвня iєрархiї справедливої  вартостi, як описано вище.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Функцiональною валютою та валютою подання фiнансової звiтностi Товариства є гривня. Операцiї в iноземнiй валютi первiсно вiдображаються у функцiональнiй валютi за обмiнним курсом, що дiє на дату здiйснення операцiї. Монетарнi активи та зобов'язання, деномiнованi в iноземнiй валютi, перераховуються у функцiональну валюту за обмiнним курсом, що дiє на кiнець звiтного перiоду. Всi курсовi рiзницi, що виникають вiд такого перерахунку, вiдображаються у звiтi про фiнансовi результати. Немонетарнi статтi, якi оцiнюються за iсторичною вартiстю в iноземнiй валютi, перераховуються за обмiнним курсом, що дiяв на дату первiсних операцiй.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вiдображаються за собiвартiстю за вирахуванням накопиченого зносу та/або, за наявностi, накопичених збиткiв вiд зменшення корисностi. Така собiвартiсть включає витрати, пов'язанi з замiною частини основних засобiв, та витрати на позики для довгострокових будiвельних проектiв, якщо вони вiдповiдають критерiям визнання. Собiвартiсть самостiйно виробленого активу визначається на основi тих же принципiв, що i собiвартiсть активу, що купується. При проведеннi основних технiчних оглядiв витрати на їх проведення визнаються у складi балансової вартостi основних засобiв як вартiсть замiни, якщо дотримано всiх необхiдних для такого визнання критерiїв. Усi iншi витрати на ремонт i технiчне обслуговування визнаються у прибутках та збитках в момент їх понесення. Витрати на капiтальний ремонт (модернiзацiю, реконструкцiю) додаються до балансової вартостi об'єкта основних засобiв при умовi, що очiкується додатковий приток майбутнiх економiчних вигiд, пов'язаних з таким активом, витрати можна достовiрно оцiнити. Знос основних засобiв нараховується лiнiйним методом протягом очiкуваних строкiв корисного використання вiдповiдних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Сума витрат на модернiзацiю яка визнана у складi балансової вартостi основних засобiв за 2024 рiк складає 1 022 тис. грн.( у 2023р. - 24 тис. грн.), сума витрат на капiтальний ремонт яка визнана у складi балансової вартостi основних засобiв за 2024 рiк складає 3 225 тис. грн.( у 2023р. - 3 852 тис. 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Припинення визнання основних засобiв вiдбувається при їх вибуттi або у випадку, коли в майбутньому не очiкується отримання економiчної вигоди вiд використання або реалiзацiї такого активу. Будь-якi прибутки або збитки, якi виникають у зв'язку з припиненням визнання активу (розрахованi як рiзниця мiж чистими надходженнями вiд вибуття активу та його балансовою вартiстю), включаються до звiту про фiнансовi результати за рiк, у якому об'єкт був знятий з облiку.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Залишкова вартiсть, строки корисного використання й методи нарахування амортизацiї активiв переглядаються наприкiнцi кожного фiнансового року й, у разi необхiдностi, коригуються перспективно.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Незавершене будiвництво включає, переважно, капiталовкладення, понесенi внаслiдок будiвництва нових i реконструкцiї iснуючих основних засобiв. Об'єкти незавершеного будiвництва облiковуються за собiвартiстю. Собiвартiсть включає в себе витрати, безпосередньо пов'язанi з будiвництвом об'єктiв основних засобiв, включаючи змiннi накладнi витрати, в тому числi капiталiзованi витрати на позики стосовно квалiфiкованих активiв. Амортизацiя цих активiв, як i аналогiчних об'єктiв основних засобiв, починається з моменту їх готовностi до використання. У складi незавершених капiтальних iнвестицiй станом на 31.12.2024р. враховано передплати у сумi 1 399 тис. грн. (станом на 31.12.2023р. - 0 тис. грн.)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 це майно, яким Товариство володiє для отримання доходу вiд здачi його в оренду або для приросту капiталу, або для обох цих цiлей.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 Товариства формується за рахунок iснуючих об'єктiв нерухомостi внаслiдок змiни їх призначення та їх переведення з категорiї нерухомостi, яку займає Товариство, у категорiю iнвестицiйної нерухомостi. Залишкова вартiсть, строки корисного використання й методи нарахування амортизацiї активiв переглядаються наприкiнцi кожного фiнансового року й, у разi необхiдностi, коригуються перспективно.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Пiсля початкового визнання, Товариство облiковує об'єкти iнвестицiйної нерухомостi за собiвартiстю мiнус будь-яка накопичена амортизацiя та будь-якi накопиченi збитки вiд зменшення корисностi. Амортизацiя iнвестицiйної нерухомостi розраховується прямолiнiйним методом згiдно зi строками корисної експлуатацiї.Термiн корисного використання для об'єктiв iнвестицiйної нерухомостi встановлюється як i для об'єктiв групи основних засобiв "будiвлi та споруди".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Зароблений орендний дохiд облiковується у прибутку чи збитку в статтi iнших операцiйних доходiв. У зв'язку iз тим, що пiдприємство враховує iнвестицiйну нерухомiсть за первiсною вартiстю за мiнусом нарахованої амортизацiї воєнний стан i пов'язанi з ними нестабiльнiсть економiки не впливають на вартiсть iнвестицiйної нерухомостi. У складi iнвестицiйної нерухомостi Товариства знаходиться склад комового вапна з залишковою вартiстю станом на 31.12.2024р. - 202 тис. грн.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Земля, що перебуває у власностi Товариства, на якiй розташованi бiльшiсть з її виробничих потужностей, вiдображається за собiвартiстю. Право власностi пiдтверджується державним актом на земельну дiлянку. Товариство сплачує земельний податок, який щорiчно розраховується державними органами виходячи з загальної площi та цiлей використання такої землi. Земля не амортизується, оскiльки неможливо надiйно оцiнити строк її корисного використання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Придбанi нематерiальнi активи, що мають обмеженi строки корисного використання, вiдображаються за їх вартiстю за вирахуванням накопиченої амортизацiї та накопичених збиткiв вiд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визнає нематерiальними активами об'єкти, якi використовуватимуться бiльше року.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облiковує нематерiальнi активи за собiвартiстю. Подальшi витрати на нематерiальнi активи пiсля його придбання або створення визнаються у складi витрат того перiоду, у якому вони понесенi, за винятком випадкiв, коли є вiрогiдним, що витрати дозволять активу приносити майбутнi економiчнi вигоди в обсязi понад початково-очiкуванi, та такi витрати можуть бути достовiрно оцiненi.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Нематерiальний актив з визначеним термiном корисної експлуатацiї пiдлягає амортизацiї на перiод, вказаний у договорi, патентi чи лiцензiї. Строк амортизацiї нематерiального активу з визначеним строком корисної експлуатацiї переглядається в кiнцi кожного фiнансового року. Амортизацiя розраховується на основi собiвартостi активу прямолiнiйним методом протягом встановленого термiну корисного використання з дати, коли актив є готовим до використання. Амортизацiйнi витрати визнаються в Звiтi про сукупний дохiд. Дiапазон термiнiв корисного використання нематерiальних </w:t>
      </w:r>
      <w:r>
        <w:rPr>
          <w:rFonts w:ascii="Times New Roman CYR" w:hAnsi="Times New Roman CYR" w:cs="Times New Roman CYR"/>
          <w:sz w:val="24"/>
          <w:szCs w:val="24"/>
        </w:rPr>
        <w:lastRenderedPageBreak/>
        <w:t>активiв складає вiд 1 до 10 рокiв. Нематерiальнi активи з невизначеним строком корисного використання не амортизуються. Строк корисного використання нематерiального активу з невизначеним строком використання переглядається щорiчно з метою визначення того, наскiльки прийнятно продовжувати вiдносити цей актив до категорiї активiв iз невизначеним строком корисного використання. Якщо це неприйнятно, змiна оцiнки строку корисного використання з невизначеного на обмежений здiйснюється на перспективнiй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Доходи або витрати вiд припинення визнання нематерiального активу оцiнюються як рiзниця мiж чистою виручкою вiд вибуття активу та балансовою вартiстю активу й визнаються у звiтi про фiнансовi результати в момент припинення визнання цього активу.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кожну звiтну дату Товариство встановлює наявнiсть ознак зменшення корисностi нефiнансових активiв. Якщо такi ознаки iснують, або якщо необхiдно виконати щорiчне тестування активу на предмет зменшення корисностi, Товариство здiйснює оцiнку вiдшкодовуваної вартостi активу. Вiдшкодовувана вартiсть активу - це найбiльша з таких величин: справедливої вартостi активу або пiдроздiлу, що генерує грошовi потоки, за вирахуванням витрат на продаж, i цiнностi вiд використання активу. Вiдшкодовувана вартiсть визначається для окремого активу, крiм випадкiв, коли актив не генерує надходження коштiв, якi здебiльшого є незалежними вiд надходжень, генерованих iншими активами Товариства. Якщо балансова вартiсть активу перевищує його вiдшкодовувану вартiсть, актив вважається таким, кориснiсть якого зменшилась, i списується до вiдшкодовуваної вартостi. При оцiнцi цiнностi вiд використання майбутнi грошовi потоки дисконтуються за ставкою дисконтування до оподаткування, яка вiдображає поточну ринкову оцiнку тимчасової вартостi грошей i ризики, властивi активу. При визначенi справедливої вартостi за вирахуванням витрат на продаж використовується вiдповiдна модель оцiнки. Такi розрахунки пiдтверджуються оцiночними коефiцiєнтами чи iншими наявними показниками справедливої вартостi.Збитки вiд зменшення корисностi, включаючи збитки вiд зменшення корисностi запасiв, визнаються у звiтi про фiнансовi результати у складi тих категорiй витрат, якi вiдповiдають функцiї активу, кориснiсть якого зменшилася.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 з невизначеним строком корисного використання тестуються на предмет зменшення корисностi щороку станом на 31 грудня, а також якщо обставини вказують на те, що кориснiсть їхньої балансової вартостi могла зменшитися. Тестування проводиться на iндивiдуальнiй основi. Керiвництво Товариства у вiдповiдностi до вимог МСБО 36 "Зменшення корисностi активiв" регулярно виконує процедури для визначення наявностi ознак зменшення корисностi та перевiрки на предмет можливостi вiдшкодування балансової вартостi основних засобiв. Визначення зменшення корисностi основних засобiв передбачає застосування оцiнок, якi включають, зокрема, встановлення причини, часу та суми зменшення корисностi. Зменшення корисностi грунтується на великiй кiлькостi факторiв, як-от: змiна поточного конкурентного середовища, очiкування щодо зростання промисловостi, збiльшення вартостi капiталу, змiни у майбутнiй доступностi фiнансування, технологiчне старiння, припинення певного виду дiяльностi, поточна вартiсть вiдшкодування та iншi змiни в обставинах, якi свiдчать про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Фiнансовим iнструментом є будь-який договiр, що призводить до виникнення фiнансового активу у одного суб'єкта господарювання та фiнансового зобов'язання або iнструменту власного капiталу в iншого суб'єкта господарювання.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Згiдно з МСФЗ (IFRS) 9 "Фiнансовi iнструменти" при первiсному визнаннi фiнансового активу, який класифiкується як позика або дебiторська заборгованiсть, Товариство визначає його в якостi  фiнансового активу, що оцiнюються за справедливою вартiстю через прибуток або збиток. Пiд час первiсного визнання фiнансових активiв Товариство присвоює їм вiдповiдну категорiю. При первiсному визнаннi фiнансовi активи оцiнюються за справедливою вартiстю плюс (у випадку, якщо iнвестицiї не класифiкуються як фiнансовi активи переоцiнюваннi за справедливою вартiстю через прибуток або збиток) витрати, безпосередньо пов'язанi зi здiйсненням операцiї.Всi угоди з купiвлi або продажу фiнансових активiв, що вимагають поставки активiв у строки, якi встановлюються законодавством або правилами, прийнятими на певному ринку (угоди на "стандартних умовах"), визнаються на дату укладання угоди, тобто на дату, коли Товариство бере на себе зобов'язання купити або продати актив. Фiнансовi активи Товариства включають грошовi кошти та їх еквiваленти, торгову та iншу дебiторську заборгованiсть. Товариство не класифiкувало жоднi фiнансовi активи як такi, що оцiнюються за справедливою вартiстю з вiдображенням переоцiнки як прибутку або збитку, або що утримуються до </w:t>
      </w:r>
      <w:r>
        <w:rPr>
          <w:rFonts w:ascii="Times New Roman CYR" w:hAnsi="Times New Roman CYR" w:cs="Times New Roman CYR"/>
          <w:sz w:val="24"/>
          <w:szCs w:val="24"/>
        </w:rPr>
        <w:lastRenderedPageBreak/>
        <w:t xml:space="preserve">погашення чи наявнi для продажу.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класифiкує дебiторську заборгованiсть за такими видами: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торгова дебiторська заборгованiсть,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аванси виданi,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iнша дебiторська заборгованiсть.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вiдображення в звiтi про фiнансовий стан Товариство видiляє короткострокову i довгострокову дебiторську заборгованiсть. Вiдповiдно до п. 4.1.5 МСФЗ (IFRS) 9 "Фiнансовi iнструменти", при первiсному визнаннi фiнансового активу, який класифiкується як позику або дебiторська заборгованiсть, Товариство визначає його як фiнансовий актив, що оцiнюється за справедливою вартiстю через прибуток або збиток. Торговельну дебiторську заборгованiсть пiдприємство оцiнює за цiною операцiї, якщо торговельна дебiторська заборгованiсть не мiстить значного компоненту фiнансування згiдно з МСФЗ 15. Пiсля первiсного визнання фiнансового активу Товариство розраховує та визнає очiкуваний кредитний збиток. Товариство використовує рiзнi пiдходи для аналiзу очiкуваних кредитних збиткiв, що пов'язанi з фiнансовими активами вiд iноземних покупцiв, покупцiв на територiї України та iнших клiєнтiв.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очiкуваних кредитних збиткiв вiдображає: об'єктивну та зважену на ймовiрнiсть суму, визначену шляхом оцiнки певного дiапазону можливих результатiв; часову вартiсть грошей; усю необхiдну та пiдтверджувану iнформацiю, що є доступною на звiтну дату без надмiрних витрат або зусиль, включаючи iнформацiю про минулi подiї, поточнi умови та прогнози майбутнiх економiчних умов. Збитки вiд зменшення корисностi визнаються у звiтi про фiнансовi результати.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в наступному перiодi сума збитку вiд зменшення корисностi зменшується, i це зменшення може бути об'єктивно пов'язане з подiєю, яка вiдбувається пiсля визнання зменшення корисностi, то ранiше визнаний збиток вiд зменшення корисностi сторнується за рахунок коригування резервiв. Сума сторнування визнається в прибутку чи збитку. У разi неможливостi повернення дебiторської заборгованостi вона списується за рахунок створеного резерву на покриття збиткiв вiд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за основною дiяльнiстю та iнша дебiторська заборгованiсть спочатку визнаються за справедливою вартiстю, а в подальшому оцiнюються за амортизованою вартiстю iз використанням методу ефективної процентної ставки за вирахуванням резерву пiд знецiнення. Пiд простроченою розумiється дебiторська заборгованiсть, термiн погашення якої минув. Величина резерву визначається за методом застосування коефiцiєнтiв очiкуваних кредитних збиткiв. Оцiнка зменшення корисностi для торгiвельної заборгованостi з вiтчизняними  та iноземними покупцями та авансiв виданих вiтчизняним та iноземним пiдприємствам, iншої дебiторської заборгованостi розрахунок очiкуваних кредитних збиткiв здiйснюється на iндивiдуальнiй основi з урахуванням умов договору, очiкуваного перiоду погашення, законодавчих обмежень.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 активу зменшується за рахунок вiдповiдного резерву, а сума збитку визнається у прибутку чи збитку у складi iнших операцiйних витрат. Якщо дебiторська заборгованiсть за основною дiяльнiстю є такою, що не може бути повернута, вона списується за рахунок iнших операцiйних витрат. Списання дебiторської заборгованостi за рахунок резерву не здiйснюється. Сума резерву на дату фiнансової звiтностi розраховується з урахуванням списаних ранiше сум такої заборгованостi. Повернення ранiше списаних сум кредитується у складi прибутку чи збитку за рахунок iншого операцiйного доходу.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припиняє визнання фiнансових активiв, коли (а) активи погашенi або права на отримання грошових потокiв вiд активiв iнакше втратили свою чиннiсть, або (б) Товариство передало права на отримання грошових потокiв вiд фiнансових активiв або уклало угоду про передачу, i при цьому (i) також передало в основному всi ризики та вигоди, пов'язанi з володiнням активами, або (ii) Товариство не передало та не залишило в основному всi ризики та вигоди володiння, але припинило здiйснювати контроль. Контроль вважається збереженим, якщо контрагент не має практичної можливостi повнiстю продати актив непов'язанiй сторонi без внесення додаткових обмежень на перепродаж.</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цьому випадку Товариство також визнає вiдповiдне зобов'язання. Переданий актив i вiдповiдне зобов'язання оцiнюються на основi, що вiдображає права та зобов'язання, збереженi Товариством.Подальша участь Товариства в активi, який має форму гарантiї за переданим активом, оцiнюється за меншим iз значень: первiсною балансовою вартiстю активу або максимальною сумою </w:t>
      </w:r>
      <w:r>
        <w:rPr>
          <w:rFonts w:ascii="Times New Roman CYR" w:hAnsi="Times New Roman CYR" w:cs="Times New Roman CYR"/>
          <w:sz w:val="24"/>
          <w:szCs w:val="24"/>
        </w:rPr>
        <w:lastRenderedPageBreak/>
        <w:t>компенсацiї, яка може бути пред'явлена Товариству до сплати.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фiнансового зобов'язання припиняється, якщо зобов'язання погашене, анульоване або строк його дiї минув. Якщо наявне фiнансове зобов'язання замiнюється iншим зобов'язанням перед тим самим кредитором на суттєво вiдмiнних умовах, або якщо умови наявного зобов'язання значно змiненi, то така замiна або змiни облiковуються як припинення визнання первiсного зобов'язання i початок визнання нового зобов'язання, а рiзниця в їх балансовiй вартостi визнається у звiтi про фiнансовi результати.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Стосовно активiв, вiдображених за амортизованою вартiстю, Товариство спочатку проводить окрему оцiнку iснування об'єктивних ознак зменшення корисностi iндивiдуально суттєвих фiнансових активiв або сукупно за фiнансовими активами, що не є iндивiдуально суттєвими. У разi якщо об'єктивнi ознаки зменшення корисностi фiнансового активу, що розглядається окремо, суттєвого або несуттєвого, вiдсутнi, цей актив включається до групи фiнансових активiв з аналогiчними характеристиками кредитного ризику. Така група фiнансових активiв оцiнюється на предмет зменшення корисностi на сукупнiй основi. Активи, якi оцiнюються окремо на предмет зменшення корисностi, та щодо яких визнається або продовжує визнаватися збиток вiд зменшення корисностi, не повиннi оцiнюватися на предмет зменшення корисностi на сукупнiй основi. За наявностi об'єктивних ознак понесення збиткiв унаслiдок зменшення корисностi фiнансових активiв сума збитку визначається як рiзниця мiж балансовою вартiстю активiв i поточною вартiстю очiкуваних майбутнiх грошових потокiв (за вирахуванням майбутнiх очiкуваних кредитних збиткiв, якi ще не були понесенi). Поточна вартiсть очiкуваних майбутнiх грошових потокiв дисконтується за первiсною ефективною процентною ставкою за фiнансовим активом. Балансова вартiсть активу зменшується шляхом застосування рахунку резерву, й сума збитку визнається у звiтi про фiнансовi результати. Майбутнi процентнi доходи нараховуються на основi зменшеної балансової вартостi та з застосуванням процентної ставки, використаної для дисконтування майбутнiх грошових потокiв iз метою оцiнювання збиткiв вiд зменшення корисностi.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 при первiсному визнаннi класифiкуються вiдповiдно як фiнансовi зобов'язання, що оцiнюються за амортизованою вартiстю. Фiнансовi зобов'язання Товариства включають торгову та iншу кредиторську заборгованiсть, а також процентнi кредити та позики.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первiсного визнання кредиторська заборгованiсть i процентнi кредити та позики оцiнюються за амортизованою вартiстю з використанням методу ефективної процентної ставки. Доходи i витрати за такими фiнансовими зобов'язаннями визнаються у звiтi про фiнансовi результати при припиненнi їх визнання, а також у мiру нарахування амортизацiї з використанням ефективної процентної ставки.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Амортизована вартiсть розраховується з урахуванням дисконтiв або премiй при придбаннi, а також комiсiйних або витрат, якi є невiд'ємною частиною ефективної процентної ставки. Амортизацiя ефективної процентної ставки включається до складу фiнансових витрат в звiтi про фiнансовi результати.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Фiнансове зобов'язання припиняє визнаватися у звiтi про фiнансовий стан, якщо зобов'язання погашене, анульоване або строк його дiї минув. Якщо iснуюче фiнансове зобов'язання замiнюється iншим зобов'язанням перед тим же кредитором, на суттєво вiдмiнних умовах, або якщо умови iснуючого зобов'язання значно змiненi, така замiна або змiни облiковуються як припинення визнання первiсного зобов'язання та початок визнання нового зобов'язання, а рiзниця у балансовiй вартостi визнається у прибутках та збитках.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 й фiнансовi зобов'язання пiдлягають взаємозалiку, а чиста сума -  поданню в балансi тодi й тiльки тодi, коли є здiйсненне в цей момент юридичне право на взаємозалiк визнаних сум, а також намiр здiйснити розрахунок на нетто-основi, або реалiзувати активи й одночасно з цим погасити зобов'язання. Результати  операцiй, якi не вiдносяться до основної дiяльностi Товариства, представляються шляхом взаємозалiку всiх доходiв та витрат, що виникають внаслiдок однiєї i тiєї ж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 торгiвля якими здiйснюється на активних ринках на кожну звiтну дату, визначається виходячи з ринкових котирувань або котирувань дилерiв (котирування на купiвлю для довгих позицiй i котирування на продаж для коротких позицiй), без вирахування витрат на здiйснення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фiнансових iнструментiв, що не котируються на активному ринку, справедлива вартiсть визначається шляхом застосування методик оцiнки. Такi методики можуть включати використання цiн нещодавно проведених операцiй на комерцiйнiй основi, використання поточної справедливої вартостi </w:t>
      </w:r>
      <w:r>
        <w:rPr>
          <w:rFonts w:ascii="Times New Roman CYR" w:hAnsi="Times New Roman CYR" w:cs="Times New Roman CYR"/>
          <w:sz w:val="24"/>
          <w:szCs w:val="24"/>
        </w:rPr>
        <w:lastRenderedPageBreak/>
        <w:t>аналогiчних iнструментiв, аналiз дисконтованих грошових потокiв або iншi моделi оцiнки.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основної дiяльностi керiвництво  застосовує професiйнi судження для того, щоб визначити, чи всi суттєвi ризики та вигоди, пов'язанi з володiнням  фiнансовими активами, передаються контрагентам, та щоб визначити, якi ризики та вигоди являються найбiльш суттєвими. Керiвництво Товариства оцiнюватиме зменшення корисностi фiнансових активiв по датi коли була отримана iнформацiя  про погiршення фiнансового стану клiєнта або боржника.  Товариство не проводило припинення визнання вiдносно наявних фiнансових активiв в звiтному роцi.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застосовує професiйнi судження для того, щоб визначити, чи всi суттєвi ризики та вигоди, пов'язанi з володiнням  фiнансовими активами, передаються контрагентам, та щоб визначити, якi ризики та вигоди являються найбiльш суттєвими. Керiвництво Товариства оцiнює зменшення корисностi фiнансових активiв по датi коли була отримана iнформацiя  про погiршення фiнансового стану позичальника.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Запаси класифiкуються Товариством наступним чином: виробничi запаси, незавершене виробництво, готова продукцiя, товари. Запаси оцiнюються за меншою з двох сум: собiвартiстю або чистою вартiстю реалiзацiї.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вартiсть реалiзацiї являє собою прогнозовану цiну реалiзацiї в ходi звичайної господарської дiяльностi за вирахуванням будь-яких очiкуваних майбутнiх витрат, пов'язаних з доведенням продукцiї до готовностi та її реалiзацiєю.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Вартiсть запасiв включає витрати, понесенi на придбання запасiв, доставку до мiсця їх знаходження i доведення до стану, необхiдного для їх використання або продажу. Зниження вартостi морально застарiлих запасiв i матерiалiв, якi повнiстю або частково втратили свою первiсну якiсть, а також запасiв i матерiалiв, поточна ринкова вартiсть яких знизилася, вiдображається як резерв пiд знецiнення запасiв i матерiалiв.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списаннi у виробництво чи iншому вибуттi Товариство оцiнює запаси за середньозваженою вартiстю. Оцiнка товарiв у роздрiбнiй торгiвлi здiйснюється по методу роздрiбних цiн.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Виручка по договорах з покупцями визнається, коли контроль над товарами або послугами передається покупцю в сумi, що вiдображає вiдшкодування, право на яке Пiдприємство очiкує отримати в обмiн на передачу товарiв або послуг покупцевi. Пiдприємство дiйшло висновку, що, як правило, воно виступає в якостi принципала в укладених ним угодах, що передбачають отримання виручки, оскiльки Пiдприємство контролює товари або послуги до їх передачi покупцевi.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вiд продажу товарiв визнається, як правило, коли контроль, iстотнi ризики i вигоди вiд володiння товаром переходять до покупця.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вiд надання послуг визнається протягом перiоду. Для оцiнки ступеню завершеностi виконаних робiт Товариство використовує метод результатiв, в тому звiтному перiодi, коли були наданi послуги. Виручка визнається виходячи з обсягу послуг, фактично наданих до кiнця звiтного перiоду, пропорцiйно до загального обсягу послуг, що надаються.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договори включають кiлька обов'язкiв до виконання, цiна угоди розподiляється на кожен окремий обов'язок до виконання виходячи зi спiввiдношення цiн при їх окремому продажу. Якщо такi цiни не є такими, що спостерiгаються, вони розраховуються, виходячи з очiкуваних витрат плюс маржа.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Оцiнки виручки, витрат або обсягу виконаних робiт до повного виконання договору переглядаються в разi змiни обставин. Будь-яке збiльшення або зменшення розрахункових сум виручки або витрат, що виникає в зв'язку з цим, вiдображається у складi прибутку або збитку в тому перiодi, в якому керiвництву стало вiдомо про обставини, якi призвели до їх перегляду.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договорiв з фiксованою винагородою покупець сплачує фiксовану суму вiдповiдно до графiка платежiв. Якщо вартiсть послуг, наданих Товариством, перевищує суму платежу, виникає актив за договором з покупцем. Якщо сума платежiв перевищує вартiсть наданих послуг, визнається зобов'язання за договором з покупцем.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фiнансовий результат вiд договору не може бути достовiрно оцiнений, виручка визнається тiльки в межах суми понесених витрат, якi можуть бути вiдшкодованi.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Грошовими коштами визначаються високолiквiднi короткостроковi iнвестицiї, якi можуть бути замiненi на визначену суму грошових коштiв та мають термiн погашення три мiсяцi або менше з дати їх придбання. Вони облiковуються по вартостi придбання з урахуванням накопичених вiдсоткiв, що </w:t>
      </w:r>
      <w:r>
        <w:rPr>
          <w:rFonts w:ascii="Times New Roman CYR" w:hAnsi="Times New Roman CYR" w:cs="Times New Roman CYR"/>
          <w:sz w:val="24"/>
          <w:szCs w:val="24"/>
        </w:rPr>
        <w:lastRenderedPageBreak/>
        <w:t>складає їх справедливу вартiсть.  Грошовi кошти на якi має мiсце обмеження щодо їх використання вiдображаються в облiку окремою статтею якщо їх сума виходить за межу суттєвостi.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включають готiвку, депозити за вимогою та iншi короткостроковi лiквiднi фiнансовi активи з первiсним термiном погашення до трьох мiсяцiв; вони вiдображаються за номiнальною вартiстю.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Забезпечення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Забезпечення визнаються, коли в результатi певної подiї в минулому Товариство має юридичнi або добровiльно взятi на себе зобов'язання, для врегулювання яких з великим ступенем iмовiрностi буде потрiбний вiдтiк ресурсiв, якi втiлюють у собi майбутнi економiчнi вигоди, i суму зобов'язання можна достовiрно оцiнити.  Забезпечення оцiнюються за поточною вартiстю, виходячи з найкращої оцiнки керiвництвом витрат, необхiдних для врегулювання поточних зобов'язань на кiнець звiтного перiоду.  Забезпечення переоцiнюються щорiчно. Змiни у забезпеченнях, що виникають з плином часу, вiдображаються у звiтi про фiнансовi результати щорiчно у складi iнших операцiйних доходiв та витрат. Iншi змiни у забезпеченнях, пов'язанi зi змiною очiкуваного процесу врегулювання зобов'язань або орiєнтовної суми зобов'язання, або змiнами ставок дисконтування, вiдображаються як змiна облiкової оцiнки у перiодi, коли такi змiни вiдбулись, за винятком зобов'язань з вибуття активiв, що вiдображаються у звiтi про фiнансовi результати.  Якщо Товариство планує одержати вiдшкодування забезпечення, наприклад, за договором страхування, вiдшкодування визнається як окремий актив, але тiльки у тому випадку, коли одержання вiдшкодування не пiдлягає сумнiву.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Пенсiї та iншi винагороди по закiнченнi трудової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встановленi вiдрахування до Державного пенсiйного фонду України за ставками, чинними протягом року, виходячи з нарахованої заробiтної плати працiвникiв. Цi вiдрахування вiдображаються як витрати в звiтному перiодi, до якого вiдноситься вiдповiдна заробiтна плата.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того, Товариство має юридичнi зобов'язання компенсувати Державному пенсiйному фонду України суми додаткових пенсiйних виплат певним категорiям чинних i колишнiх спiвробiтникiв Товариства. Данi зобов'язання є незабезпеченими i в основному подiбнi до тих, якi iснують для незабезпечених планiв з встановленою виплатою. Витрати, пов'язанi з даним планом, визнаються у фiнансовiй звiтностi за методом нарахування прогнозованих одиниць для працiвникiв, якi мають право на отримання такої пенсiї. Сума майбутнiх виплат пенсiї робiтникам за списком № 1 i № 2 на дату фiнансової звiтностi враховується пiдприємством як резерв на виплати за пенсiйними зобов'язаннями вiдповiдно до вимог МСФО (IAS) 37 "Резерви, умовнi зобов'язання, умовнi активи". Розрахунок заборгованостi, пов'язаної з даними пенсiйними зобов'язаннями, мають застосовуватися з використанням актуарних методiв на кожну звiтну дату. Фактичнi результати можуть вiдрiзнятися вiд вiдповiдних оцiнок на певну дату.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Вiйськова агресiя росiйської федерацiї проти України значно впливає на вiдсотковi ставки, очiкуваний рiвень iнфляцiї i вартiсть активiв, що може викликати необхiднiсть переоцiнки активiв i зобов'язань пенсiйних програм з визначеною виплатою. Поточнi умови, найiмовiрнiше, продовжать впливати на вартiсть активiв i зобов'язань програми, що призведе до потенцiйної волатильностi суми визнаного чистого профiциту/дефiциту пенсiйної програми з визначеною виплатою. Пiдприємство при визначеннi ставки дисконтування використовувало справедливу вартiсть облiгацiй внутрiшнiх державних позик України за винятком цiнних паперiв менше року i тi що номiнованi в доларах та євро.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оцiнює чи є договiр орендою, або чи мiстить вiн оренду, на початку дiї договору. Договiр є орендним або мiстить оренду, якщо вiн передає право контролювати використання iдентифiкованого активу протягом певного перiоду часу в обмiн на компенсацiю.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змiни в договорi умов оренди Товариство проводить повторну оцiнку договору.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початку оренди Пiдприємство як орендар визнає актив у формi права користування та зобов'язання по орендi. Пiдприємством передбачається два винятки вiд визнання - щодо оренди активiв з низькою вартiстю i короткострокової оренди. За договорами з такими активами оренднi активи i зобов'язання не визнаються. Витрати вiдносяться на виробничi, адмiнiстративнi або збутовi вiдповiдно до цiльового використання базових активiв Пiдприємством у мiру нарахування поточних платежiв до оплати. Пiдприємство визнає оренднi платежi, пов'язанi з цiєю орендою, як витрати лiнiйним методом </w:t>
      </w:r>
      <w:r>
        <w:rPr>
          <w:rFonts w:ascii="Times New Roman CYR" w:hAnsi="Times New Roman CYR" w:cs="Times New Roman CYR"/>
          <w:sz w:val="24"/>
          <w:szCs w:val="24"/>
        </w:rPr>
        <w:lastRenderedPageBreak/>
        <w:t>протягом термiну оренди, або з використанням iншого систематичного пiдходу, який краще вiдображає структуру отримання вигод.</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Первинна оцiнка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на дату початку оренди оцiнює i визнає на балансi актив формi права користування за первiсною вартiстю, яка включає: величину первiсної оцiнки зобов'язання з оренди; оренднi платежi на дату початку оренди або до такої дати за вирахуванням отриманих стимулюючих платежiв по орендi; будь-якi початковi прямi витрати; </w:t>
      </w:r>
      <w:r>
        <w:rPr>
          <w:rFonts w:ascii="Times New Roman CYR" w:hAnsi="Times New Roman CYR" w:cs="Times New Roman CYR"/>
          <w:sz w:val="24"/>
          <w:szCs w:val="24"/>
        </w:rPr>
        <w:tab/>
        <w:t>оцiнку витрат, якi будуть понесенi пiдприємством при демонтажi i перемiщеннi базового активу, вiдновленнi дiлянки, на якому вiн розташовується, або вiдновленнi базового активу до стану, яке вимагається згiдно з умовами оренди.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Орендне право орендар враховує як право користування майном вiдповiдно до МСБО (IAS) 41 "Нематерiальнi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Первинна оцiнка зобов'язань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початку оренди оренднi платежi, якi включаються в оцiнку зобов'язань з оренди, складаються з наступних платежiв за право користування базовим активом протягом термiну оренди, якi не здiйснено на дату початку оренди: фiксованих платежiв за вирахуванням будь-яких стимулюючих платежiв по орендi до отримання; змiннi оренднi платежi, якi залежать вiд iндексу або ставки, спочатку оцiнюються з використанням iндексу або ставки на дату оренди; суми гарантованої лiквiдацiйної вартостi;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договорами оренди передбачено iндексацiю на iндекс iнфляцiї, Пiдприємство враховує цей фактор при обчисленнi поточної вартостi орендних зобов'язань iз застосуванням умовного iндексу iнфляцiї, i виробляє перерахунок в останнiй день року, за який проводиться iндексацiя, як модифiкацiю договору.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Подальша оцiнка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дати початку оренди Пiдприємство оцiнює актив у формi права користування iз застосуванням моделi облiку за первiсною вартiстю за вирахуванням накопиченої амортизацiї та накопичених збиткiв вiд знецiнення.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активу в формi права користування визнається вiдповiдно до вимог дiючих стандартiв, якi застосовуються у вiдношеннi основних засобiв. Для амортизацiї активу в формi права користування Пiдприємство застосовує лiнiйний метод впродовж коротшого з таких перiодiв: строку оренди або строку корисного використання активу в формi права користування.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Подальша оцiнка зобов'язань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пiсля дати початку оренди оцiнює розрахунки по орендi наступним чином: збiльшуючи балансову вартiсть для вiдображення вiдсоткiв по зобов'язанню з оренди; зменшуючи балансову вартiсть для вiдображення орендних платежiв;  </w:t>
      </w:r>
      <w:r>
        <w:rPr>
          <w:rFonts w:ascii="Times New Roman CYR" w:hAnsi="Times New Roman CYR" w:cs="Times New Roman CYR"/>
          <w:sz w:val="24"/>
          <w:szCs w:val="24"/>
        </w:rPr>
        <w:tab/>
        <w:t xml:space="preserve">переоцiнюючи балансову вартiсть для вiдображення переоцiнки або модифiкацiї договорiв оренди, або для вiдображення переглянутих по сутi фiксованих орендних платежiв.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Вiдсотки за зобов'язанням по орендi в кожному перiодi протягом термiну оренди визнаються в сумi, яка розраховується з незмiнною перiодичної вiдсоткової ставки на залишок зобов'язань з оренди. Пiсля початку оренди Пiдприємство визнає у фiнансових витратах (за винятком випадкiв, коли витрати включаються до балансової вартостi iншого активу з використанням iнших чинних стандартiв) вiдсотки за зобов'язанням по орендi, а змiннi оренднi платежi, не включенi в оцiнку зобов'язання по орендi - в собiвартостi, адмiнiстративних або збутових витратах в залежностi вiд цiльового використання активу аналогiчно з витратами по амортизацiї активу з права користування. Витрати по змiнним платежах визнаються в перiодi, в якому настає подiя або умова, що призводить до здiйснення таких платежiв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з охорони навколишнього середовища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заходiв iз дотримання природоохоронного законодавства в Українi знаходиться на етапi розвитку, i позицiя органiв влади щодо його виконання постiйно переглядається. У випадку виникнення зобов'язань, вони визнаються у фiнансовiй звiтностi у тому перiодi, в якому вони виникли. Потенцiйнi зобов'язання, якi можуть виникнути внаслiдок змiни чинних норм та законодавства, а також судових процесiв, не пiддаються оцiнцi, проте можуть мати суттєвий вплив. За iснуючого порядку, який забезпечує дотримання вимог чинного законодавства, керiвництво вважає, що суттєвих зобов'язань внаслiдок забруднення навколишнього середовища не iснує.</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та витрати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Доходи та витрати визнаються за методом нарахування. Витрати, понесенi у зв'язку з отриманням доходу, вiдносяться до того перiоду, в якому вони були здiйсненi. Доходи i витрати визнаються за кожним видом дiяльностi - операцiйної, iнвестицiйної, фiнансової.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Критерiї визнання доходу i витрат застосовуються окремо до кожної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Кожний вид доходу i витрат вiдображається в бухгалтерському облiку окремо.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облiковує доходи та витрати вiдповiдно до таких принципiв: доходи та витрати облiковуються у перiод, до якого вони належать; отриманi доходи, якi належать до майбутнiх перiодiв, облiковуються як вiдстроченi доходи; здiйсненi витрати та платежi, якi належать до майбутнiх перiодiв, облiковуються як вiдстроченi витрати;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Визнанi доходи i витрати групуються за їх характером за вiдповiдними статтями у звiтi про прибутки i збитки та iнший сукупний дохiд.</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надання послуг визнаються, коли: сума доходiв може бути достовiрно визначена; iснує ймовiрнiсть того, що економiчнi вигоди, пов'язанi з операцiєю, надiйдуть пiдприємству i понесенi або очiкуванi витрати, пов'язанi з операцiєю, можуть бути достовiрно визначенi. Якщо дохiд вiд надання послуг не може бути достовiрно оцiнений, то вiн визнається та вiдображається в бухгалтерському облiку в розмiрi здiйснених витрат що пiдлягають вiдшкодуванню.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Бухгалтерський (фiнансовий) облiк нарахованих доходiв i витрат здiйснюється не рiдше одного разу на мiсяць за кожною операцiєю (договором) окремо.Дозволяється вiдображати отриманi (сплаченi) на дату балансу доходи (витрати), безпосередньо за рахунками доходiв i витрат.</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визнаються в бухгалтерському облiку в сумi справедливої вартостi активiв, якi отриманi або пiдлягають отриманню.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Доходи вiд реалiзацiї визнаються у розмiрi справедливої вартостi винагороди, отриманої або яка пiдлягає отриманню,i являють собою суми до отримання за роботи та послуги, наданi входi звичайної господарської дiяльностi, за вирахуванням повернень покупцями, знижок.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Правила взаємозалiку доходiв i витрат / активiв i зобов'язань.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i витрати Товариства представляються у фiнансовiй звiтностi окремо i пiдлягають взаємозалiку тiльки в таких випадках, коли iснує юридично визначене правило взаємозалiку визнаних сум.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Результати операцiй, якi не вiдносяться до основної дiяльностi Товариства, представляються шляхом взаємозалiку всiх доходiв та витрат, що виникають внаслiдок однiєї i тiєї ж операцiї. Крiм того, доходи i витрати, що виникають по групi аналогiчних операцiй, представляються у звiтах на нетто-основi. Тим не менш, такi доходи i витрати, якщо вони iстотнi, розкриваються окремо в примiтках до фiнансової звiтностi. Результатом взаємозалiку доходiв i витрат є виникнення прибуткiв або збиткiв.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Операцiї, доходи i витрати по яких пiдлягають взаємозалiку: продаж основних засобiв; реалiзацiя iнших робiт та послуг;  </w:t>
      </w:r>
      <w:r>
        <w:rPr>
          <w:rFonts w:ascii="Times New Roman CYR" w:hAnsi="Times New Roman CYR" w:cs="Times New Roman CYR"/>
          <w:sz w:val="24"/>
          <w:szCs w:val="24"/>
        </w:rPr>
        <w:tab/>
        <w:t>реалiзацiя виробничих запасiв; операцiйнi курсовi рiзницi; реалiзацiя валюти;операцiї з лiквiдацiї ОЗ.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Податок на прибуток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Поточний податок на прибуток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Податки на прибуток вiдображенi у фiнансовiй звiтностi вiдповiдно до законодавства, яке було чинним або практично набуло чинностi станом на кiнець звiтного перiоду. Поточнi податковi активи та зобов'язання за поточний i попереднiй перiоди оцiнюються Товариством в сумi, обчисленiй до сплати податковим органам (вiдшкодуванню вiд податкових органiв, у яких Товариство зареєстрована). Нарахування поточного податку на прибуток здiйснюється на основi податкових ставок та податкового законодавства, якi набули чинностi на кiнець звiтного перiоду. Витрати з поточного податку на прибуток розраховуються на основi оподатковуваного прибутку, визначеного згiдно з вимогами податкового законодавства України, з використанням таких податкових ставок.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Поточний податок на прибуток, за наявностi, що стосується статей, якi вiдображаються безпосередньо у капiталi, визнається у складi капiталу.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Вiдстрочений податок на прибуток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на прибуток розраховується за методом зобов'язань шляхом визначення тимчасових рiзниць на кiнець звiтного перiоду мiж податковою базою активiв i зобов'язань i їх балансовою вартiстю для цiлей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зобов'язання визнаються за всiма оподатковуваними тимчасовими рiзницями, крiм випадкiв, коли: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вiдстрочене податкове зобов'язання виникає в результатi первiсного визнання гудвiла, активу або зобов'язання, в ходi угоди, що не є об'єднанням бiзнесу, i на момент здiйснення операцiї не впливає нi на бухгалтерський прибуток, нi на оподатковуваний прибуток або збиток.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з податку на прибуток визнаються за всiма тимчасовими рiзницями, що пiдлягають вирахуванню, невикористаними податковими пiльгами i невикористаними податковими збитками, у тiй мiрi, в якiй iснує значна iмовiрнiсть того, що буде iснувати оподатковуваний прибуток, проти якого можуть бути зарахованi тимчасовi рiзницi, що пiдлягають вирахуванню, невикористанi податковi пiльги й невикористанi податковi збитки, крiм випадкiв, коли: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вiдстрочений актив з податку на прибуток, що вiдноситься до тимчасової рiзницi, що пiдлягає вирахуванню, виникає в результатi первiсного визнання активу або зобов'язання, яке виникло не внаслiдок об'єднання бiзнесу i яке на момент здiйснення операцiї не впливає нi на бухгалтерський прибуток, нi на оподатковуваний прибуток або збиток.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 вiдстрочених податкових активiв переглядається на кiнець кожного звiтного перiоду й знижується в тiй мiрi, в якiй отримання достатнього оподатковуваного прибутку, який дозволить використовувати всi або частину вiдстрочених податкових активiв, оцiнюється як малоймовiрне.  Невизнанi вiдстроченi податковi активи переглядаються на кiнець кожного звiтного перiоду й визнаються в тiй мiрi, в якiй з'являється значна ймовiрнiсть того, що майбутнiй оподатковуваний прибуток дозволить використовувати вiдстроченi податковi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й зобов'язання визначаються за ставками податку, якi застосовуватимуться протягом перiоду реалiзацiї активу або врегулювання зобов'язання на пiдставi ставок податку (та податкового законодавства), якi набули або фактично набули чинностi на кiнець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й вiдстроченi податковi зобов'язання залiковуються один проти одного, якщо є юридично закрiплене право залiку поточних податкових активiв i зобов'язань, i вiдстроченi податки вiдносяться до однiєї й тiєї ж оподатковуваної компанiї й податкового органу.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воєнною агресiєю можливе порушення дiяльностi пiдприємства, яке може привести до визнання органiзацiєю знецiнення активiв або прогнозування майбутнiх збиткiв.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враховувало при розрахунку суму вiдстрочених активiв. На думку пiдприємства на таке врахування фактори невизначеностi, щодо вiдшкодування вiдкладених податкових активiв, не впливають. Проте пiдприємство буде переглядати такi прогнози щодо доходiв з урахуванням недавнiх подiй.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Податок на додану вартiсть.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ПДВ стягується за двома ставками: 20% при продажу на внутрiшньому ринку та iмпортi товарiв, робiт чи послуг та 0% при експортi товарiв чи наданнi послуг. Зобов'язання платника ПДВ дорiвнює загальнiй сумi ПДВ, акумульованiй за звiтний перiод, i виникає на дату вiдвантаження товарiв клiєнту чи на дату отримання оплати вiд клiєнта, залежно вiд того, що вiдбувається ранiше. Кредит з ПДВ - це сума, на яку платник податку має право зменшити свої зобов'язання з ПДВ за звiтний перiод. Право на кредит з ПДВ виникає у момент реєстрацiї в ЄРПН податкової накладної/розрахунку коригування з ПДВ. ПДВ, який стосується продажiв та закупiвель, визнається у балансi згорнуто i показується як актив або зобов'язання в сумi, вiдображенiй у декларацiях з ПДВ. В iнших випадках ПДВ вiдображається розгорнуто. Виручка, витрати й активи визнаються за вирахуванням суми податку на додану вартiсть, крiм випадкiв, коли: </w:t>
      </w:r>
      <w:r>
        <w:rPr>
          <w:rFonts w:ascii="Times New Roman CYR" w:hAnsi="Times New Roman CYR" w:cs="Times New Roman CYR"/>
          <w:sz w:val="24"/>
          <w:szCs w:val="24"/>
        </w:rPr>
        <w:tab/>
        <w:t>податок на додану вартiсть, що виник з купiвлi активiв або послуг, не вiдшкодовується податковим органом; у цьому випадку податок на додану вартiсть визнається вiдповiдно як частина витрат на придбання активу або частина статтi витрат;  дебiторська i кредиторська заборгованостi вiдображаються з урахуванням суми податку на додану вартiсть, крiм авансiв виданих та авансiв отриманих, що вiдображенi за вирахуванням вiдповiдних сум ПДВ.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пiсля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пiсля закiнчення звiтного перiоду, що надають додаткову iнформацiю про фiнансовий стан Товариства на кiнець звiтного перiоду (коригуючи подiї), вiдображаються у фiнансовiй звiтностi.  Подiї пiсля закiнчення звiтного перiоду, якi не є коригуючими подiями, вiдображаються у Примiтках до фiнансової звiтностi, якщо вони є суттєвими.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Опис обраної полiтики щодо фiнансування дiяльностi емiтента, достатнiсть робочого капiталу для </w:t>
      </w:r>
      <w:r>
        <w:rPr>
          <w:rFonts w:ascii="Times New Roman CYR" w:hAnsi="Times New Roman CYR" w:cs="Times New Roman CYR"/>
          <w:sz w:val="24"/>
          <w:szCs w:val="24"/>
        </w:rPr>
        <w:lastRenderedPageBreak/>
        <w:t>поточних потреб, можливi шляхи покращення лiквiдностi.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Пiдприємство здiйснює свою виробничу дiяльнiсть в Українi. В результатi вiйськової агресiї росiї в Українi розгорнулась широкомасштабна економiчна криза. Українська економiка опинилася в ситуацiї, коли мiльйони людей виїхали за межi країни, сотнi тисяч працездатних громадян були мобiлiзованi на фронт, десятки тисяч пiдприємств були змушенi зупинити роботу. Три роки вiйни принесли багато жертв i втрат. Однак поряд з цим Україна отримала низку впевнених перемог на фронтi, завдяки пiдтримки коалiцiї країн з воєнної та фiнансової  пiдтримки України. Основними чинниками, що стримують економiку, й надалi залишаються наслiдки вiйни: руйнування критичної iнфраструктури, виробництв, а також брак працiвникiв на пiдприємствах через мiграцiйнi та мобiлiзацiйнi процеси. Подальшому вiдновленню сприятиме як очiкуване нарощування врожаїв, так i зростання iнвестицiй у вiдбудову України, у тому числi з боку приватного бiзнесу та iноземних iнвесторiв. Мiжнародна пiдтримка залишиться важливою опорою вiдновлення України. Значний поштовх українськiй економiцi може дати також пришвидшення євроiнтеграцiї. Подальше наближення України до вступу в ЄС посилюватиме iнтерес мiжнародного бiзнесу до нашої країни.Ситуацiя на ринку працi залишається досить напруженою через брак працiвникiв. Причина цього - мiграцiйнi та мобiлiзацiйнi процеси, зумовленi вiйною.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 територiї Запорiзької областi з перших днiв введення воєнного стану в Українi проходять активнi бойовi дiї, майже всi райони областi знаходяться пiд окупацiєю агресора. В районах, де проходять активнi бойовi дiї значна частина пiдприємств припинила свою роботу, а населення масово виїжджає з районiв та населених пунктiв, де є загроза життю через активнi обстрiли та проходження лiнiї фронту. Зазначена ситуацiя призводить до значного погiршення фiнансового стану та негативно впливає на дiяльнiсть ПрАТ "Запорiжсклофлюс", яка спрямована на безперебiйне забезпечення фiнансовими ресурсами поточної виробничо - господарської дiяльностi та контроль за рацiональним використанням фiнансових ресурсiв; своєчасне перерахування платежiв до бюджету та в Державнi цiльовi фонди, своєчаснi розрахунки з постачальниками ресурсiв, оплату працi персоналу; досягнення максимальних економiчних та фiнансових показникiв на основi взаємовигiдного спiвробiтництва, поваги, довiри з партнерами; безперервне вдосконалення, пiдвищення ефективностi фiнансової дiяльностi пiдприємства. Метою пiдприємства при управлiннi капiталом є забезпечення подальшої роботи в якостi безперервно дiючого пiдприємства, щоб приносити прибуток акцiонерам i вигоди iншим зацiкавленим сторонам, а також пiдтримувати оптимальну структуру капiталу для зменшення його вартостi.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Економiчнi наслiдки вiйни мали негативний вплив на фiнансово-господарську дiяльнiсть пiдприємства, а саме: зменшення доходiв вiд реалiзацiї продукцiї внаслiдок заблокування українських портiв та здорожчення послуг автомобiльних перевезень, спаду дiлової активностi партнерiв Товариства в Українi. За 2024 рiк Товариство отримало збитки в розмiрi 19360 тис.грн., якi в порiвняннi з 2023 роком зменшились на 10933 тис.грн. Фiнансування пiдприємства у 2024 роцi вiдбувалось за рахунок власних обiгових коштiв. Робочий капiтал  складає 3630 тис.грн. Коефiцiєнт загальної лiквiдностi становить 1,1 та вказує, що Товариство незалежне вiд позикових коштiв при фiнансуваннi реальних активiв. Коєфiцiент поточної лiквiдностi  станом на 31.12.2024 року становить 0,3 що свiдчить про недостатнiй рiвень лiквiдностi Товариства. Погiршення фiнансових показникiв було викликано коливанням цiн на сировину, енергоресурси та готову продукцiю. Обсяг грошових потокiв знизився, але є достатнiм, щоб розраховуватись за зобов'язаннями. Досвiд, iсторiя розвитку та напрацьована база постiйних корпоративних клiєнтiв ПрАТ "Запорiжсклофлюс" дозволяє чекати притоку грошових коштiв. При цьому слiд зазначити, що Товариство веде свою дiяльнiсть в нестабiльному середовищi, яке iснує на даний час в Українi i вiдсутнє чiтко уявлення про заходи, щодо подолання iснуючої кризи.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фактором  покращення лiквiдностi можливе наступними засобами:  вирiвнювання грошового потоку у галузi надходження грошових коштiв (це можливо досягти шляхом урегулювання платiжної дисциплiни замовникiв/дебiторiв; покращення системи управлiння запасами; зниження зобов'язань; збiльшення обсягiв виробництва.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звiтний перiод Товариством дослiджень та розробок не проводилося у зв'язку з нестабiльною економiчною ситуацiєю та обмеженням грошових коштiв.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6. Iнформацiя щодо продуктiв (товарiв або послуг)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 Продукти (товари та / або послуги), якi виробляє / надає Товариство: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Флюси зварювальнi займають 27,1% обсягу товарної продукцїi пiдприємства за 2024 рiк, використовуються для автоматичного та напiвавтоматичного зварювання та наплавки вуглеводистих та низьколегованих сталей в металургiї, машинобудiвництвi, моторобудуваннi, суднобудуваннi, вагонобудуваннi, нафтогазовому комплексi, крiм того цi флюси використовуються в якостi шлакiв для розливу сталей у металургiї;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Скло натрiєве рiдке займає 72,9% обсягу товарної продукцiї пiдприємства,  використовується для склеювання фарфору, картону, силiкатних i фарфорових виробiв, скла,  а також для просочення паперу, тканини, бетону, штукатурки i дерев'яних виробiв з метою надання пiдвищенної щiльностi i вогнестiйкостi. Застосовується в металургiї, хiмiчнiй, целюлозно-паперовiй промисловостi, будiвництвi, для виробництва зварювальних електродiв, для каталiзаторiв та адсорбентiв, для будiвництва, для клеїв, просочення, при виробництвi паперу.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2) Обсяги виробництва (у натуральному та грошовому виразi):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звiтний перiод вироблено: флюсiв зварювальних  0,45 тис.тн. на суму  20,4 млн. грн.; скло натрiєве рiдке 4,5 тис. тн. на суму  54,9 млн.грн..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Середньо реалiзацiйнi цiни продуктiв за 2024 рiк склали: по флюсам зварювальним 45304 грн.; скло натрiєве рiдке 12687 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4) Загальна сума виручки за 2024 рiк склала 109,5 млн..грн.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5) Загальна сума експорту за звiтний перiод склала 1,3 млн. грн., що складає 1,2% вiд загальної суми реалiзацiї.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 Залежнiсть вiд сезонних змiн: сезоннiсть не має iстотного впливу на виробництво продукцiї. Не залежить вiд сезонних змiн.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7) Основнi клiєнти (бiльше 5 % у загальнiй сумi виручки):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 "Сувенiр", ПП "ГОФРО ТРЕЙД", ТОВ "ЗЛМЗ", "ПАТ "Запорiжсталь", ПрАТ "Днiпроспецсталь", ПрАТ "Запорiжвогнетрив", м. Запорiжжя;    ТОВ "ЛКПФ", м. Луцьк ПАТ "АРСЕЛОР МИТТАЛ" Кривий Рiг,  ТОВ "УТЗ", м. Днiпро, ПрАТ "Житомирський ЗОК", м. Житомир, ПрАТ "Днiпровагонмаш", м. Кам"янське, ТОВ "ТАС "ПОЛТАВВАГОН", ТОВ "УКРСПЕЦКОНСТРУКЦIЯ ЛТД"  ПрАТ "Харкiвський плитковий завод" .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8) Ринки збуту та країни, в яких особою здiйснюється дiяльнiсть;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Основний ринок збуту  - внутрiшнiй ринок, Україна.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9) Канали збуту;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збут власної продукцiї здiйснює автомобiльним транспортом шляхом прямих поставок безпосередньо споживачу.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10) Основнi постачальники та види товарiв та / або послуг, якi вони постачають / надають особi, країни з яких здiйснюється постачання / надання товарiв / послуг:</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постачальниками для виробництва продукцiї Товариства у 2024 роцi були: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постачальники гiдроксиду натрiю у водному розчинi (сода каустична): ТОВ "МАРГУНАС- УКРАЇНА" м. Одеса,  Україна та ТОВ "ХIМПОСТАЧ", смт. Васищево, Харкiвська обл., Украiна;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постачальники соди кальцинованої: ТОВ "Грiнлайн Хiмiя", м. Одеса, Україна та ТОВ "СТИВIДОР ТРАНС", м. Херсон, Україна.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постачальники маси електродної, електродiв зграфiтованих: ТОВ ПВП "Укрграфiт", м. Запорiжжя, Україна.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Технiчнi i якiснi характеристики сировини, що постачалися у 2024 роцi повнiстю вiдповiдали вимогам виробництва.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11) Особливостi стану розвитку галузi, в якiй здiйснює дiяльнiсть Товариство: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ПРАТ "Запорiжсклофлюс" належить до галузi хiмiчної промисловостi України. Хiмiчна промисловiсть упродовж багатьох рокiв є однiєю з провiдних галузей економiки України, яка робила суттєвий внесок у валовий внутрiшнiй продукт та забезпечувала значнi валютнi надходження вiд експорту продукцiї. Якщо розглядати загальну структуру української промисловостi, хiмiчний сектор займав вiд 9 до 10% залежно вiд рiзних перiодiв та зовнiшнiх умов. Попри надскладнi умови, воєннi дiї в Українi, сектор хiмiчної промисловостi зберiгає позицiї, утворює приблизно 4% вiд нацiонального ВВП та на думку профiльних експертiв має потенцiал для подальшого зростання. Виробництво в хiмiчнiй промисловостi </w:t>
      </w:r>
      <w:r>
        <w:rPr>
          <w:rFonts w:ascii="Times New Roman CYR" w:hAnsi="Times New Roman CYR" w:cs="Times New Roman CYR"/>
          <w:sz w:val="24"/>
          <w:szCs w:val="24"/>
        </w:rPr>
        <w:lastRenderedPageBreak/>
        <w:t>бiльшою мiрою орiєнтується на сектор АПК, безпосередньо на аграрнi компанiї, промисловий сектор та проведення експорту в iншi держави. Крiм того, попри всi складнощi та високi ризики, хiмiчний сектор України зберiгає iнвестицiйну привабливiсть та в майбутньому може стати одним з драйверiв вiдновлення нацiональної економiки. Попри складнi умови та воєннi дiї в Українi, хiмiчна промисловiсть продовжує роботу. Проте цей сектор дiяльностi зазнав дуже серйозних втрат: ключовi пiдприємства були знищенi або зазнали значних пошкоджень.Значний потенцiал до розвитку сектору зумовлений потужною базою сировини, оскiльки Україна має значний запас рiзноманiтних матерiалiв, в перелiк яких входять майже всi необхiднi для виробництва цiльових хiмiкатiв. Вiдновлення та залучення iнвестицiй в хiмiчний сектор  є прiоритетними завданнями для держави, оскiльки сектор має стратегiчне значення для економiки. Безумовно, розширення торговельних  вiдносин та вiдновлення втраченого виробництва дозволяє казати про значнi перспективи для сектору, особливо в перiод пiслявоєнного вiдновлення. Проте цi процеси прямо залежать вiд багатьох факторiв, зокрема вiд воєнної ситуацiї, наявностi необхiдного обсягу iнвестицiй та дiй влади.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12) Опис технологiй, якi використовує Товариство у своїй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широкомасштабною збройною агресiєю РФ проти України та неможливiстю виробничих процесiв, на пiдприємствi було зупинено основне виробництво. ПрАТ "Запорiжсклофлюс" виробляє зварювальнi плавленi флюси тiльки шляхом варки сировини в електродуговiй печi. Вони використовуються для автоматичного та механiчного зварювання та наплавлення будiвельних, машинобудiвельних конструкцiй широкого призначення iз нелегованих i низьколегованих сталей. Скло рiдке виготовляється шляхом плавки силiкатної глиби в автоклавi та використовується в металургiї, хiмiчнiй, целюлозно-паперовiй промисловостi, будiвництвi, для виробництва зварювальних електродiв, для каталiзаторiв та адсорбентiв, для будiвництва, для клеїв, просочення, при виробництвi паперу. Пiдприємством постiйно освоювалися новi марки флюсiв зварювальних, силiкату натрiю, скла рiдкого та нових видiв продукцiї з урахуванням вимог ринку. Але у 2022 роцi спостерiгалось посилення обстрiлiв через масованi ракетнi атаки, у тому числi промислових об'єктiв пiдприємства, внаслiдок чого виробництво основної продукцiї було призупинено та впровадження нових технологiй, нових товарiв не здiйснювалося.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13) Мiсце особи на ринку, на якому вона здiйснює дiяльнiсть: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свою дiяльнiсть в Українi, в якiй продовжується повномасштабна вiйна з росiйською федерацiєю та дiє правовий режим воєнного стану. Багаторiчний виробничий досвiд i високий професiоналiзм персоналу дозволяє виготовляти високоякiснi вироби, постiйно удосконалюючи технологiчнi процеси i розширюючи асортимент продукцiї, що випускається, виходячи з потреб замовникiв. Але  упродовж 2024 року Товариство вело свою дiяльнiсть в нестабiльному середовищi, основним фактором якого є в першу чергу вiйськова агресiя росiйської федерацiї проти України i вiдсутнє чiтко уявлення про заходи, щодо подолання iснуючої кризи, активи Товариства знаходились пiд впливом наслiдкiв вiйськової агресiї рф, частина активiв - пiд окупацiєю.  В умовах вiйськових дiй та обстрiлiв об'єктiв критичної iнфраструктури України критичними залишались ризики (здоров'я, безпека та навколишнє середовище), у тому числi  виконання нормативних вимог iз охорони працi та промислової безпеки на виробничих об'єктах, автомобiльному транспортi, робочих мiсцях. З метою мiнiмiзацiї наслiдкiв вторгнення рф та уникнення подальшого їх зростання керiвництво продовжує вживати заходiв, якi забезпечують оптимальну  дiяльнiсть та безперебiйнiсть критичних бiзнес-процесiв.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14) Рiвень конкуренцiї в галузi, основнi конкуренти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в галузi  незначний. Осноними конкурентами Емiтента є:  ТОВ "Сувенiр", ТОВ "Днiпросклосервiс"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15) Перспективнi плани розвитку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територiї Запорiзької областi з перших днiв введення воєнного стану в Українi проходять активнi бойовi дiї, майже всi райони областi знаходяться пiд окупацiєю агресора. Зазначена ситуацiя призводить до значного погiршення фiнансового стану та негативно впливає на дiяльнiсть ПрАТ "Запорiжсклофлюс", яка спрямована на безперебiйне забезпечення фiнансовими ресурсами поточної виробничо - господарської дiяльностi та контроль за рацiональним використанням фiнансових ресурсiв. Дiяльнiсть Товариства зазнала значного впливу вiйни, наразi iснує значна невизначенiсть щодо розвитку вiйськового вторгнення росiйської федерацiї на територiю України, його тривалостi та вiдповiдно впливу на дiяльнiсть Товариства, його персонал, лiквiднiсть та збереження активiв. Перспективними </w:t>
      </w:r>
      <w:r>
        <w:rPr>
          <w:rFonts w:ascii="Times New Roman CYR" w:hAnsi="Times New Roman CYR" w:cs="Times New Roman CYR"/>
          <w:sz w:val="24"/>
          <w:szCs w:val="24"/>
        </w:rPr>
        <w:lastRenderedPageBreak/>
        <w:t>планами є  енергоефективнi i ресурсоощаднi виробничi технологiї, зменшення техногенного навантаження на довкiлля, екологiзацiя технологiй та продукцiї.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якщо, особа є фiнансовою установою, то вказується iнформацiя передбачена пунктами 1 (в тому числi перелiк банкiвських та фiнансових послуг, якi фактично надавались такою фiнансовою установою протягом звiтного перiоду), 4,</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11-15.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не недається, тому що Товариство не є фiнансовою установою.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Опис ризикiв, якi притаманнi дiяльностi особи, пiдходи до управлiння ризиками, заходи особи щодо зменшення впливу ризикiв.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ходi своєї дiяльностi Товариство наражається на численнi фiнансовi ризики, серед яких ринковий ризик (у тому числi цiновий ризик, валютний ризик, ризик грошових потокiв та ризик справедливої вартостi процентної ставки), кредитний ризик та ризик лiквiдностi. Основними цiлями управлiння фiнансовими ризиками є визначення лiмiтiв ризику й нагляд за тим, щоб цi лiмiти не перевищувалися.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Кредитний ризик - це ризик того, що контрагент не виконає своїх зобов'язань за фiнансовими iнструментами або за контрактом, що може призвести до фiнансових збиткiв. Кредитний ризик виникає в результатi кредитних та iнших операцiй Товариства з контрагентами, внаслiдок яких виникають фiнансовi активи. Кредитний ризик пiдприємства пов'язаний з невиконанням клiєнтами своїх зобов'язань обмежується балансовою вартiстю торгової дебiторської заборгованостi.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iнструменти, якi зазнають кредитного ризику, в основному включають довгострокову дебiторську заборгованiсть, поточну торгову дебiторську заборгованiсть та iншу дебiторську заборгованiсть. На думку керiвництва Товариства, кредитний ризик належним чином врахований у створених резервах на знецiнення вiдповiдних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Монiторинг та аналiз кредитного ризику здiйснюється окремо за кожним випадком. Кредитнi оцiнки виконуються щодо всiх клiєнтiв, якi хочуть отримати кредит понад встановлений лiмiт.Керiвництво Товариства аналiзує непогашену дебiторську заборгованiсть за строками погашення та у подальшому контролює простроченi залишки. Таким чином, керiвництво  вважає за необхiдне надавати у цiй фiнансовiй звiтностi iнформацiю про строки прострочення заборгованостi та iншi данi про кредитний ризик.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це ризик фiнансових втрат Товариства у випадку невиконання зобов'язань клiєнтом або контрагентом за вiдповiдною угодою. У звiтному перiодi фiнансовi активи Товариства, якi пiддаються кредитному ризику, представленi залишками на банкiвських рахунках та торгiвельною та iншою дебiторською. Для управлiння кредитним ризиком Товариство застосовує аналiз фiнансового стану контрагентiв перед пiдписанням договорiв, процедури оперативного контролю дебiторської.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Ринковий ризик полягає у тому, що змiни ринкових курсiв, таких як валютнi курси, процентнi ставки i курси цiнних паперiв, будуть впливати на доходи або на вартiсть фiнансових iнструментiв Товариства.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наражається на ринковi ризики, що виникають у зв'язку з вiдкритими позицiями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 в iноземних валютах,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 процентних активiв та зобов'язань, якi значним чином залежать вiд загальних та конкретних ринкових змiн,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 цiновий ризик.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встановлює лiмiти сум ризику, що може бути прийнятий Товариством, та щоденно контролює їхнє дотримання. Проте застосування такого пiдходу не запобiгає виникненню збиткiв за межами цих лiмiтiв у випадку суттєвих ринкових змiн.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Показана далi чутливiсть до ринкових ризикiв передбачає змiну одного фактору при незмiнностi решти факторiв. На практицi таке трапляється дуже рiдко, i змiни деяких факторiв можуть бути взаємопов'язанi - наприклад, змiни процентних ставок та змiни курсiв обмiну.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Валютний ризик. Функцiональною валютою Товариства є гривня - валюта первинного економiчного середовища, в якому воно працює. Монетарнi активи i зобов'язання в iноземнiй валютi перераховуються у функцiональну валюту за офiцiйним обмiнним курсом Нацiонального банку України (НБУ) станом на кiнець кожного звiтного перiоду. Прибутки i збитки вiд курсових рiзниць, що виникають у результатi розрахункiв по операцiях i перерахунку монетарних активiв i зобов'язань, вiдображаються у складi </w:t>
      </w:r>
      <w:r>
        <w:rPr>
          <w:rFonts w:ascii="Times New Roman CYR" w:hAnsi="Times New Roman CYR" w:cs="Times New Roman CYR"/>
          <w:sz w:val="24"/>
          <w:szCs w:val="24"/>
        </w:rPr>
        <w:lastRenderedPageBreak/>
        <w:t>прибутку чи збитку.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рахунок змiн валютних курсiв у 2024роцi Товариством були отриманi такi результати: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 продажу валюти через банкiвськi установи було отримано прибутки, якi в 2024 роцi суттєво зменшилися у порiвняннi з показниками 2023року, а саме : прибутки зменшилися на 17 тис. грн.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вiд операцiй з купiвлi / продажу валюти: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вiд перерахунку заборгованостi нерезидентiв були отриманi прибутки, якi на 289 тис.грн. збiльшилися у порiвняннi з показниками 2023року.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на операцiї з перерахунку заборгованостей.</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2024рi        2023рiк      змiна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курсових рiзниць</w:t>
      </w:r>
      <w:r>
        <w:rPr>
          <w:rFonts w:ascii="Times New Roman CYR" w:hAnsi="Times New Roman CYR" w:cs="Times New Roman CYR"/>
          <w:sz w:val="24"/>
          <w:szCs w:val="24"/>
        </w:rPr>
        <w:tab/>
        <w:t xml:space="preserve">     503</w:t>
      </w:r>
      <w:r>
        <w:rPr>
          <w:rFonts w:ascii="Times New Roman CYR" w:hAnsi="Times New Roman CYR" w:cs="Times New Roman CYR"/>
          <w:sz w:val="24"/>
          <w:szCs w:val="24"/>
        </w:rPr>
        <w:tab/>
        <w:t xml:space="preserve">       282</w:t>
      </w:r>
      <w:r>
        <w:rPr>
          <w:rFonts w:ascii="Times New Roman CYR" w:hAnsi="Times New Roman CYR" w:cs="Times New Roman CYR"/>
          <w:sz w:val="24"/>
          <w:szCs w:val="24"/>
        </w:rPr>
        <w:tab/>
        <w:t xml:space="preserve">            221</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курсових рiзниць</w:t>
      </w:r>
      <w:r>
        <w:rPr>
          <w:rFonts w:ascii="Times New Roman CYR" w:hAnsi="Times New Roman CYR" w:cs="Times New Roman CYR"/>
          <w:sz w:val="24"/>
          <w:szCs w:val="24"/>
        </w:rPr>
        <w:tab/>
        <w:t xml:space="preserve">     (15)</w:t>
      </w:r>
      <w:r>
        <w:rPr>
          <w:rFonts w:ascii="Times New Roman CYR" w:hAnsi="Times New Roman CYR" w:cs="Times New Roman CYR"/>
          <w:sz w:val="24"/>
          <w:szCs w:val="24"/>
        </w:rPr>
        <w:tab/>
        <w:t xml:space="preserve">       (83)</w:t>
      </w:r>
      <w:r>
        <w:rPr>
          <w:rFonts w:ascii="Times New Roman CYR" w:hAnsi="Times New Roman CYR" w:cs="Times New Roman CYR"/>
          <w:sz w:val="24"/>
          <w:szCs w:val="24"/>
        </w:rPr>
        <w:tab/>
        <w:t xml:space="preserve">             68</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на дiяльнiсть     488</w:t>
      </w:r>
      <w:r>
        <w:rPr>
          <w:rFonts w:ascii="Times New Roman CYR" w:hAnsi="Times New Roman CYR" w:cs="Times New Roman CYR"/>
          <w:sz w:val="24"/>
          <w:szCs w:val="24"/>
        </w:rPr>
        <w:tab/>
        <w:t xml:space="preserve">       199</w:t>
      </w:r>
      <w:r>
        <w:rPr>
          <w:rFonts w:ascii="Times New Roman CYR" w:hAnsi="Times New Roman CYR" w:cs="Times New Roman CYR"/>
          <w:sz w:val="24"/>
          <w:szCs w:val="24"/>
        </w:rPr>
        <w:tab/>
        <w:t xml:space="preserve">           289</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Таким чином, валютний ризик вiд збiльшення валютних курсiв поточного року для пiдприємства не iснує. Оскiльки Товариство здiйснює свою дiяльнiсть, в основному, в українськiй гривнi, рiвень схильностi Товариства до валютного ризику є низьким.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Цiновий ризик. Товариство не наражається на цiновий ризик у вiдношеннi до фiнансової звiтностi, оскiльки не має значних iнвестицiй в цiннi папери та фiнансовi iнструменти, якi наражали б його на цiновий ризик.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Ризик лiквiдностi. Ризик лiквiдностi - це ризик того, що пiдприємство зiткнеться з труднощами при виконаннi зобов'язань, пов'язаних з фiнансовими зобов'язаннями.  Обачнiсть при управлiннi ризиком лiквiдностi передбачає наявнiсть достатньої суми грошових коштiв, а також наявнiсть достатнiх фiнансових ресурсiв для задоволення зобов'язань в момент, коли настає строк їхнього погашення. Управлiння поточною лiквiднiстю пiдприємства здiйснюється шляхом контролю сум дебiторської та кредиторської заборгованостi i витрат на програми капiтальних iнвестицiй. Для управлiння лiквiднiстю пiдприємства широко використовується практика передоплати. Пiдхiд Товариства до управлiння лiквiднiстю полягає в забезпеченнi, у можливих межах, постiйної наявностi у Товариства вiдповiдної лiквiдностi, яка б дозволяла вiдповiдати на її зобов'язання своєчасно (як в нормальних умовах, так i у випадку виникнення нестандартних ситуацiй), уникаючи неприйнятних збиткiв або ризику пошкодження репутацiї.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Стратегiю подальшої дiяльностi емiтента щонайменше на рiк щодо розширення виробництва, реконструкцiї, полiпшення фiнансового стану неможливо визначити у зв'язку триваючим вiйськовим вторгненням в Україну та тим, що масштаби подальших подiй або термiни коли цi дiї припиняться, невiдомо. Цi фактори зумовили виникнення додаткових ризикiв дiяльностi Товариства та за iснуючих обставин, подальша нестабiльнiсть умов здiйснення дiяльностi може спричинити негативний вплив на результати дiяльностi та фiнансовий стан Товариства, характер та наслiдки якого на поточний момент визначити неможливо. ПрАТ "Запорiжсклофлюс" припускає, що пiдприємство функцiонуватиме невизначено довго в майбутньому. Це припущення передбачає реалiзацiю активiв i виконання зобов'язань в ходi звичайної дiяльностi. Досвiд, iсторiя розвитку та напрацьована база постiйних корпоративних клiєнтiв Товариства  дозволяє чекати притоку грошових коштiв. Припущення щодо безперервностi дiяльностi формувалось виходячи з професiйного судження керiвництва, що врахувало фiнансовий стан Пiдприємства, iснуючi намiри, щодо дiяльностi в майбутньому та доступ до фiнансових ресурсiв, а також вплив поточної фiнансової та економiчної ситуацiї на майбутню дiяльнiсть Пiдприємства. Управлiнський персонал пiдприємства не має намiрiв лiквiдувати Пiдприємство чи припинити його дiяльнiсть та вживає необхiдних заходiв для пiдтримки стiйкостi i збереження бiзнесу компанiї в нинiшнiх умовах.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Стратегiчними прiоритетами Товариства є забезпечення фiнансової та операцiйної стабiльностi, а саме: збiльшення ринкiв збуту та виробництва продукцiї; збiльшення запасу лiквiдностi за рахунок максимiзацiї грошових потокiв; забезпечення постiйної якостi реалiзованої продукцiї; пiдвищення зацiкавленостi працiвникiв в кiнцевих результатах працi та сприяння росту соцiальних стандартiв.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2020 рiк Товариством придбано активiв на суму 12630 тис грн., вiдчужено активiв на суму 305 тис.грн. За 2021 рiк Товариством придбано активiв на суму 38819 тис грн., вiдчужено активiв на суму 155 тис.грн. За 2022 рiк Товариством придбано активiв на суму 4911 тис грн., вiдчудження активiв протягом року не вiдбувалось.За 2023 рiк Товариством придбано активiв на суму 4365 тис грн., вiдчужено на суму 1222 тис.грн. За 2024 рiк Товариством придбано активiв на суму 4946 тис грн., вiдчужено на суму 49 тис.грн.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Будь-яких значних iнвестицiй або придбань пiдприємством не планується у зв'язку з триваючим вiйськовим вторгненням Росiї в Україну та невизначенiстю масштабiв подальших подiй або термiнiв їх припинення.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ПрАТ "Запорiжсклофлюс" включає: промисловий майданчик, на якому розташовано весь виробничий комплекс, знаходиться у м. Запорiжжя, яке на теперiшнiй час не знаходиться в окупацiї  чи оточеннi та на територiї мiста бойовi дiї не ведуться. Пiдприємство також має об'єкт соцiального призначення - базу вiдпочинку "Кристал",  розташований зараз на окупованiй територiї Запорiзької областi у смт Кирилiвка, але у пiдприємства вiдсутнiй  контроль за цим об'єктом. Пiдприємство не має права власностi на землю, на якiй розташованi виробничi та адмiнiстративнi будiвлi, якi складають його основнi виробничi потужностi та користується нею на основi "права постiйного користування", наданого обласною державною адмiнiстрацiєю. Основнi засоби використовуються з метою отримання доходу у господарськiй дiяльностi у процесi виробництва продукцiї, здачi в оренду iншим сторонам та надання послуг соцiального призначення. Основнi засоби за кожною основною групою використовуються за своїм прямим призначенням. Товариство не орендує стороннi основнi засоби.  Товариство здає в оренду примiщеня, якi розташованi на територiї пiдприємства: з них склад комового вапна площею 360 м2 згiдно до договору з ТОВ "Досвiд" №50/23 вiд 27.12.2023 року; дах iнженерно - лабораторного корпусу площею 50 м2 згiдно додаткової угоди до договору з ТОВ "Лайфсел" № 112/16 вiд 01.05.2016 року, частину нежитлового примiщення площею 2м2 згiдно до договору з АТ "Державний ощадний банк України" №БН  вiд 06.08.2019 року;  частину нежитлового примiщення площею 2м2 згiдно до договору з АТ "Сенс-Банк" №21275 вiд 14.06.2019 року.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Повномасштабне вiйськове вторгнення завдало потужного удару по всiх ланках економiчної системи нашої держави i по ПрАТ "Запорiжсклофлюс", внаслiдок чого було призупинено та значно зменшено потужностi пiдприємства. Будь-яких значних правочинiв щодо основних засобiв емiтента протягом звiтного року не вiдбувалося.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Використання виробничих потужностей становить по виробництву флюсiв 2,5%, склу натрiєвому рiдкому -15,3%. Виробничi потужностi пiдприємства перебувають в задовiльному становищi, використовуються не на повну потужнiсть, а тiльки пiд повне забезпечення ринку збуту продукцiї. Спосiб утримання активiв - в експлуатацiї. Активи пiдприємства щорiчно iнвентаризуються, їх вартiсть вiдображається згiдно правил (стандартiв) МСБО 16 "Основнi засоби" в балансi ПрАТ "Запорiжсклофлюс" по справедливiй переоцiненiй вартостi. Амортизацiя по об'єктам основних засобiв нараховується прямолiнiйним методом, виходячи зi строку корисного використання об'єкта. Нарахування амортизацiї починається з дати придбання або з дати доведення активу до готовностi його до використання. Фiнансування придбання, будiвництво, ремонт та удосконалення основних засобiв здiйснюється за власнi кошти пiдприємства. Пiдготовка до проведення та повне закiнчення капiтальних ремонтiв основних фондiв виконується згiдно до "Положення про планово-попереджувальнi ремонти та </w:t>
      </w:r>
      <w:r>
        <w:rPr>
          <w:rFonts w:ascii="Times New Roman CYR" w:hAnsi="Times New Roman CYR" w:cs="Times New Roman CYR"/>
          <w:sz w:val="24"/>
          <w:szCs w:val="24"/>
        </w:rPr>
        <w:lastRenderedPageBreak/>
        <w:t xml:space="preserve">експлуатацiю обладнання пiдприємств скляної промисловостi"  та "Положення про технiчне обслуговування обладнання". Устаткування, будiвлi, споруди цехiв Товариства внаслiдок цiлеспрямованого технiчного обслуговування i проведення ремонтiв знаходяться в задовiльному станi.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використанi активiв пiдприємства можуть позначитися екологiчнi питання, а саме: виконання екологiчного законодавства на пiдприємствi. Товариство придiляє першочергове значення природоохоронним заходам, послiдовно намагається скоротити вплив виробничої дiяльностi на навколишнє середовище. Поточнi витрати у 2024 р. на охорону навколишнього середовища склали 1 345,5 тис.грн., в тому числi на охорону атмосферного повiтря, утримання, ремонти пилогазоочисних споруд - 691,0 тис. грн.; на очищення зворотних вод, утримання, ремонти спорудження та трубопроводiв водозворотних циклiв, за скидання стiчних вод до мiської каналiзацiї - 586,0 тис. грн.; на поводження з вiдходами (збирання, зберiгання, транспортування, вiдновлення, розмiщення, захоронення) - 68,5 тис. грн. У зв'язку iз значним зниження виробництва продукцiї, складною ситуацiєю на пiдприємствi зниження викидiв забруднюючих речовин в атмосферне повiтря у 2024 роцi порiвняно з довоєнним часом складає бiльше нiж 94%. Протягом року виконувались iнструментальнi вимiри викидiв забруднюючих речовин пилогазоочисних установ та iнших джерел викидiв якi були в експлуатацiї, а також вимiри атмосферного повiтря та шумового навантаження на межi санiтарно-захисної зони пiдприємства.У 2024 роцi за необхiднiстю експлуатувався один з трьох замкнутих водозворотних циклiв основного виробництва. Скид виробничих стiчних вод у рiку Днiпро виключено. Виконувались хiмiчнi аналiзи води зворотних циклiв, стiчних вод, якi потрапляють в мережу мiської каналiзацiї. У випадку аварiйних ситуацiй на пiдприємствi можливе настання екологiчного збитку. У 2024 роцi екологiчних збиткiв на пiдприємствi не було.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Плани капiтального будiвництва, розширення або удосконалення основних засобiв у Товариства вiдсутнi у зв'язку з триваючими воєнними дiями. За iснуючих обставин, подальша нестабiльнiсть умов здiйснення дiяльностi може спричинити негативний вплив на результати дiяльностi та фiнансовий стан Товариства, характер та наслiдки якого на поточний момент визначити неможливо, майбутнiй економiчний розвиток Товариства залежить вiд зовнiшнiх факторiв i дiй внутрiшнього характеру, якi можуть як позитивно, так i негативно впливати на дiяльнiсть Товариства.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економiчних обмежень.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Росiйська федерацiя 24 лютого 2022 року здiйснила повномасштабне вторгнення на територiю України. Указом Президента України вiд 24.02.2022 № 64/2022 "Про введення воєнного стану в Українi", затвердженого Законом України вiд 24 лютого 2022 року № 2102-IX, з 24.02.2022 року в Українi запроваджений вiйськовий стан. Листом №2024/02.0-7.1 вiд 28.02.2022 року Торгово-промислова палата України засвiдчила форс-мажорнi обставини (обставини непереборної сили) - "вiйськову агресiю росiйської федерацiї проти України" та пiдтвердила, що зазначенi вище обставини з 24 лютого 2022 року до їх офiцiйного закiнчення, є надзвичайними, невiдворотними та об'єктивними обставинами подальшого ведення бiзнесу в умовах невизначеностi i ризикованостi. Повномасштабне вiйськове вторгнення завдало потужного удару по всiх ланках економiчної системи нашої держави. Вiйна призвела до значного скорочення виробництва, спаду ВВП та суттєвого посилення iнфляцiйного тиску. Додатковим воєнним ризиком стало рiзке порушення ланцюгiв постачання та збуту через фактичне руйнування частини транспортної iнфраструктури, погiршення якостi транспортних комунiкацiй (перевантаження напрямiв), унеможливлення транспортування переважної бiльшостi товарiв морським шляхом. Виробничi та логiстичнi витрати бiзнесу зросли, а пропозицiя товарiв i послуг скоротилася внаслiдок масштабного руйнування активiв пiдприємств, пошкодження iнфраструктури, порушення ланцюгiв виробництва та постачання. Неочiкуване блокування iноземним банками розрахункiв у зв'язку iз окупацiєю частини територiї Запорiзької областi, дефiцит електроенергiї, масованi ракетнi обстрiли, руйнування iнфраструктури привели до загального зниження економiчної активностi та погiршення дiлових очiкувань.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Цi фактори зумовлюють зрiст собiвартостi продукцiї, що значно зменшує рiвень попиту на продукцiю. Основною проблемою Товариства є зношенiсть основних засобiв та низька енергоефективнiсть технологiчних процесiв, що є стримуючим фактором у застосуваннi новiтнiх технологiй та пiдвищеннi якостi продукцiї, яка випускається пiдприємством. Мiнiмiзувати цей ризик можна шляхом постiйних </w:t>
      </w:r>
      <w:r>
        <w:rPr>
          <w:rFonts w:ascii="Times New Roman CYR" w:hAnsi="Times New Roman CYR" w:cs="Times New Roman CYR"/>
          <w:sz w:val="24"/>
          <w:szCs w:val="24"/>
        </w:rPr>
        <w:lastRenderedPageBreak/>
        <w:t>поточних та капiтальних ремонтiв, а також придбанням нових основних фондiв. Нестабiльна воєнна, полiтична та законодавча ситуацiя негативно впливає на фiнансовий результат пiдприємства та має значний вплив на iнвестицiйну та господарську дiяльнiсть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31.12.2024 року всi укладенi угоди (контракти) виконанi своєчасно в обсязi та у термiни, передбаченi умовами угод (контрактiв).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Середньооблiкова чисельнiсть штатних працiвникiв облiкового складу ПрАТ "Запорiжсклофлюс" за 2024 рiк складає 155 осiб, тобто зменшилась на 22 особи або на 14%  у порiвняннi з 2023 роком.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численнiсть позаштатних працiвникiв та осiб, якi працюють за сумiсництвом - 5 осiб.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Чисельнiсть працiвникiв, якi працюють на умовах неповного робочого часу (дня, тижня) - 8 осiб.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29079780 грн.. Крiм того, фонд оплати працi  штатних працiвникiв за 2024 рiк вiдносно попереднього року зменшився на 4530321 тис.грн. або на 18%.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Пропозицiй щодо реогранiзацiї з боку третiх осiб до Товариства протягом 2024 року не надходило.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може бути iстотною для оцiнки стейкхолдерами фiнансового стану та результатiв дiяльностi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Фiнансовi результати Товариства за останнi три роки: у зв'язку з чуттєвим подорожчанням енергоносiїв та сировинних матерiалiв, внаслiдок вiйськової агресiї росiйської федерацiї проти України, що призвело до скорочення виробництва Товариством отримано: за 2022 рiк збиток у сумi 52 млн. грн.; за 2023 рiк  збиток у сумi 28,3 млн. грн.; за 2024 рiк  збиток у сумi 18,3 млн. грн</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E11C64" w:rsidRPr="009E61E1">
        <w:trPr>
          <w:trHeight w:val="200"/>
        </w:trPr>
        <w:tc>
          <w:tcPr>
            <w:tcW w:w="3155"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закінчення строку дії ліцензії (за наявності)</w:t>
            </w:r>
          </w:p>
        </w:tc>
      </w:tr>
      <w:tr w:rsidR="00E11C64" w:rsidRPr="009E61E1">
        <w:trPr>
          <w:trHeight w:val="200"/>
        </w:trPr>
        <w:tc>
          <w:tcPr>
            <w:tcW w:w="3155"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Придбання; зберiгання; використання; знищення прекурсорiв (списку 2 таблицi IV) Перелiку наркотичних засобiв, психотропних речовин i прекурсорiв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б/н</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24.12.2020</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служба України з лiкарських засобiв та контролю за наркотиками</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24.12.2025</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08250414202000861</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14.03.2024</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Головне управлiння ДПС у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18.03.2025</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Питнi i санiтарно-гiгiєнiчнi потреби.Виробничi потреби.Передача води вторинним водокористувачам.</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102/ЗП/49д-20</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26.05.2020</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Сектор у Запорiзькiй областi Держводагенства</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26.05.2025</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Дозвiл на виконання робiт пiдвищеної небезпеки та на експлуатацiю (застосування) машин, механiзмiв, </w:t>
            </w:r>
            <w:r w:rsidRPr="009E61E1">
              <w:rPr>
                <w:rFonts w:ascii="Times New Roman CYR" w:eastAsiaTheme="minorEastAsia" w:hAnsi="Times New Roman CYR" w:cs="Times New Roman CYR"/>
              </w:rPr>
              <w:lastRenderedPageBreak/>
              <w:t>устаткування пiдвищеної небезпеки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0362.18.23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19.07.2018</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19.07.2023</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Експлуатацiя машин, механiзмiв. устаткування; Електричне устаткування електричних станцiй та мереж, технологiчне електрообладнання напругою понад 1000В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0854.16.23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05.12.2016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05.12.2021</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Види робiт: Зберiгання балонiв, контейнерiв, цистерн та iнших ємностей iз стисненним, зрiдженим, отруйним, вибухонебезпечним та iнертним газом, їх заповнення, спородження i ремонт; Зварювальнi, газополумянi , наплавнi роботи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0780.16.23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09.11.2016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09.11.2021</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Експлуатацiя машин, механiзмiв, устаткування; Посудини, що працюють пiд тиском понад 0,05 МПа. Вантажопiдiймальнi крани i машини, лiфти, ескалатори, траволатори, канатнi дороги, пiдйомники, зокрема будiвельнi, та фунiкулери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0779.16.23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09.11.2016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09.11.2021</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Види робiт: Монтаж, демонтаж, налагодження, ремонт, технiчне обслуговування, реконструкцiя машин, механiзмiв, устатковання пiдвищеної небезпеки, що зазначенi у додатку 3 до Порядку видачi дозволiв на виконання робiт пiдвищеної небезпеки та на експлуатацi</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0761.16.23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07.11.2021</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Експлуатацiя машин, механiзмiв, устаткування; Технологiчне устаткування, лiнiйнi частини та їх елементи систем газопостачання природним i зрудженим газом субєктiв господарювання та населених пунктiв, а також газовикористовуюче обладнання потужнiстю понад</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0759.16.23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07.11.2021</w:t>
            </w:r>
          </w:p>
        </w:tc>
      </w:tr>
      <w:tr w:rsidR="00E11C64" w:rsidRPr="009E61E1">
        <w:trPr>
          <w:trHeight w:val="200"/>
        </w:trPr>
        <w:tc>
          <w:tcPr>
            <w:tcW w:w="3155"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Експлуатацiя машин, механiзмiв, устаткування: Електричне устатковання електричних станцiй та мереж, технологiчне електрообладнання напругою понад 1000 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0760.16.23</w:t>
            </w:r>
          </w:p>
        </w:tc>
        <w:tc>
          <w:tcPr>
            <w:tcW w:w="1065"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07.11.2016</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Держгiрпромнагляд України, Територiальне управлiння по Запорiзькiй областi</w:t>
            </w:r>
          </w:p>
        </w:tc>
        <w:tc>
          <w:tcPr>
            <w:tcW w:w="12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07.11.2021</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E11C64" w:rsidRPr="009E61E1">
        <w:trPr>
          <w:trHeight w:val="200"/>
        </w:trPr>
        <w:tc>
          <w:tcPr>
            <w:tcW w:w="3058" w:type="dxa"/>
            <w:vMerge w:val="restart"/>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Найменування основних </w:t>
            </w:r>
            <w:r w:rsidRPr="009E61E1">
              <w:rPr>
                <w:rFonts w:ascii="Times New Roman CYR" w:eastAsiaTheme="minorEastAsia" w:hAnsi="Times New Roman CYR" w:cs="Times New Roman CYR"/>
              </w:rPr>
              <w:lastRenderedPageBreak/>
              <w:t>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Власні основні </w:t>
            </w:r>
            <w:r w:rsidRPr="009E61E1">
              <w:rPr>
                <w:rFonts w:ascii="Times New Roman CYR" w:eastAsiaTheme="minorEastAsia" w:hAnsi="Times New Roman CYR" w:cs="Times New Roman CYR"/>
              </w:rPr>
              <w:lastRenderedPageBreak/>
              <w:t>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Орендовані основні </w:t>
            </w:r>
            <w:r w:rsidRPr="009E61E1">
              <w:rPr>
                <w:rFonts w:ascii="Times New Roman CYR" w:eastAsiaTheme="minorEastAsia" w:hAnsi="Times New Roman CYR" w:cs="Times New Roman CYR"/>
              </w:rPr>
              <w:lastRenderedPageBreak/>
              <w:t>засоби, тис. грн</w:t>
            </w:r>
          </w:p>
        </w:tc>
        <w:tc>
          <w:tcPr>
            <w:tcW w:w="2342"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Основні засоби, </w:t>
            </w:r>
            <w:r w:rsidRPr="009E61E1">
              <w:rPr>
                <w:rFonts w:ascii="Times New Roman CYR" w:eastAsiaTheme="minorEastAsia" w:hAnsi="Times New Roman CYR" w:cs="Times New Roman CYR"/>
              </w:rPr>
              <w:lastRenderedPageBreak/>
              <w:t>усього, тис. грн</w:t>
            </w:r>
          </w:p>
        </w:tc>
      </w:tr>
      <w:tr w:rsidR="00E11C64" w:rsidRPr="009E61E1">
        <w:trPr>
          <w:trHeight w:val="200"/>
        </w:trPr>
        <w:tc>
          <w:tcPr>
            <w:tcW w:w="3058" w:type="dxa"/>
            <w:vMerge/>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кінець періоду</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72 058</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67 604</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72 058</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67 604</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16 318</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17 391</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16 318</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17 391</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48 704</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43 778</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48 704</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43 778</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7 036</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6 435</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7 036</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6 435</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206</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202</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206</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202</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206</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202</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206</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202</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8"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72 264</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67 806</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72 264</w:t>
            </w:r>
          </w:p>
        </w:tc>
        <w:tc>
          <w:tcPr>
            <w:tcW w:w="1082"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67 806</w:t>
            </w:r>
          </w:p>
        </w:tc>
      </w:tr>
      <w:tr w:rsidR="00E11C64" w:rsidRPr="009E61E1">
        <w:trPr>
          <w:trHeight w:val="200"/>
        </w:trPr>
        <w:tc>
          <w:tcPr>
            <w:tcW w:w="3058"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Строки та умови користування основними засобами (за основними групами): на балансi Товариства враховуються основнi групи: нерухомiсть - 20-90 рокiв, виробниче обладнання - 3-40 рокiв, транспортнi засоби - 3-20 рокiв, офiсне обладнання - 3-12 рокiв, iншi основнi засоби - 6-20 рокiв. Первiсна вартiсть основних засобiв на 31.12.23р. склала 146779 тис. грн., ступiнь зносу - 49,4%, ступiнь їх використання - 18,6%, сума нарахованого зносу - 72460 тис.грн..  Первiсна вартiсть основних засобiв на 31.12.24р. склала 151676 тис. грн., ступiнь зносу - 53,9%, ступiнь їх використання - 16,7%, сума нарахованого зносу - 81796 тис.грн.. Суттєвi змiни у вартостi основних засобiв зумовленi  моральним та фiзичним зносом основних засобiв. Основнi засоби за кожною основною групою використовуються за своїм прямим призначенням. Iнформацiя про всi обмеження на використання майна вiдсутня, тому що основнi засоби пiдприємства власнi,  перебувають у постiйному користуваннi та будь-яких обмежень на використання немає.</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попередній період</w:t>
            </w:r>
          </w:p>
        </w:tc>
      </w:tr>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76 333</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94 601</w:t>
            </w:r>
          </w:p>
        </w:tc>
      </w:tr>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r>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r>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70 030</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86 790</w:t>
            </w:r>
          </w:p>
        </w:tc>
      </w:tr>
      <w:tr w:rsidR="00E11C64" w:rsidRPr="009E61E1">
        <w:trPr>
          <w:trHeight w:val="200"/>
        </w:trPr>
        <w:tc>
          <w:tcPr>
            <w:tcW w:w="40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80,69</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76,97</w:t>
            </w:r>
          </w:p>
        </w:tc>
      </w:tr>
      <w:tr w:rsidR="00E11C64" w:rsidRPr="009E61E1">
        <w:trPr>
          <w:trHeight w:val="200"/>
        </w:trPr>
        <w:tc>
          <w:tcPr>
            <w:tcW w:w="126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Вартiсть чистих активiв розрахована за даними Балансу,  як рiзниця мiж балансовою вартiстю активiв та загальною вартiстю зобов*язань. Вартiсть чистих активiв Товариства за звiтний перiод складає 76333 тис. грн. i є бiльшою нiж статутний капiтал на 76224 тис.грн., вартiсть чистих активiв Товариства за попереднiй рiк складає 94601 тис. грн. i є бiльшою нiж статутний капiтал на 94492 тис.грн., що вiiдповiдає вимогам чинного </w:t>
            </w:r>
            <w:r w:rsidRPr="009E61E1">
              <w:rPr>
                <w:rFonts w:ascii="Times New Roman CYR" w:eastAsiaTheme="minorEastAsia" w:hAnsi="Times New Roman CYR" w:cs="Times New Roman CYR"/>
              </w:rPr>
              <w:lastRenderedPageBreak/>
              <w:t xml:space="preserve">законодавства - п. 3 ст.155 Цивiльного Кодексу України. </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E11C64" w:rsidRPr="009E61E1">
        <w:trPr>
          <w:trHeight w:val="2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погашення</w:t>
            </w:r>
          </w:p>
        </w:tc>
      </w:tr>
      <w:tr w:rsidR="00E11C64" w:rsidRPr="009E61E1">
        <w:trPr>
          <w:trHeight w:val="2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2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563</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35 009</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300"/>
        </w:trPr>
        <w:tc>
          <w:tcPr>
            <w:tcW w:w="378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35 572</w:t>
            </w:r>
          </w:p>
        </w:tc>
        <w:tc>
          <w:tcPr>
            <w:tcW w:w="19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Публiчне акцiонерне товариство "Нацiональний депозитарiй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Публічне акціонерне товариство</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30370711</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04107, Україна, Київська обл., Шевченкiвський р-н, м. Київ, вул. Тропiнiна,7-г</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дiє без лiцензiї</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д/н</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(044) 3630400</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18.20 - Тиражування звуко-, вiдеозаписiв i програмного забезпечення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62.01 - Комп'ютерне програмування</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Депозитарна дiяльнiсть</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Товариство з обмеженою вiдповiдальнiстю  "ГУДВIЛ-БРОК"</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Товариство з обмеженою відповідальністю</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23740981</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69005, Україна, Запорізька обл., Вознесенiвський р-н, м. Запорiжжя, бул. Центральний, буд.21</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АЕ №286692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Нацiональна комiсiя з цiнних паперiв та фондового ринку</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24.10.2013</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(061) 2229677</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66.12 - Посередництво за договорами по цiнних паперах або товарах</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64.30 - Трасти, фонди та подiбнi фiнансовi суб'єкти</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64.99 - Надання iнших фiнансових послуг (крiм страхування та пенсiйного забезпечення), н.в.i.у.</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Депозитарна дiяльнiсть депозитарної установи</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Товариство з обмеженою вiдповiдальнiстю "Аудиторська фiрма "Капiтал Аудит"</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Товариство з обмеженою відповідальністю</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20503140</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69035, Україна, Запорізька обл., Вознесенiвський р-н, м. Запорiжжя, пр. Соборний, буд.170-Б, прим.№1</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4549</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Аудиторська палата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31.01.2013</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(061) 2131745</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69.20 - Дiяльнiсть у сферi бухгалтерського облiку й аудиту; консультування з питань оподаткування.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68.20 - Надання в оренду й експлуатацiю власного чи орендованого нерухомого майна</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д/н - д/н</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Надання аудиторських послуг</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"Українська страхова компанiя "Княжа вiєнна iншуранс груп"</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акціонерне товариство</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24175269</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04005, Україна, Київська обл., Шевченкiвський р-н, м. Київ, вул. Глибочиська,буд.44</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3764-др</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комiсiя з регулювання ринкiв фiнансових послуг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14.01.2011</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(044)2077272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65.12 - Iншi види страхування, крiм страхування життя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65.20 - Перестрахування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66.22 - Дiяльнiсть страхових агентiв i брокерiв</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Страхова дiяльнiсть</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установа "Агентство з розвитку iнфраструктури фондового ринку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організація (установа, заклад)</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21676262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03150, Україна, Київська обл., Голосiївський р-н, м. Київ, вул. Антоновича, 51, оф. 1206</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DR/00001/APA</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Нацiональна комiсiя з цiнних паперiв та фондового ринку</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18.02.2019</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(044) 2875670</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84.13 - Регулювання та сприяння ефективному веденню економiчної дiяльностi</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62.02 - Консультування з питань iнформатизацiї</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Дiяльнiсть з оприлюднення регульованої iнформацiї вiд iменi учасника фондового ринку.</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установа "Агентство з розвитку iнфраструктури фондового ринку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Державна організація (установа, заклад)</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21676262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03150, Україна, Київська обл., Голосiївський р-н, м.Київ, вул. Антоновича 51 офiс1206</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DR/00002/ARM</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Нацiональна комiсiя з цiнних паперiв та фондового ринку</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18.09.2019</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(044) 2875670</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84.13 - Регулювання та сприяння ефективному веденню економiчної дiяльностi</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62.02 - Консультування з питань iнформатизацiї</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Дiяльнiсть з подання звiтностi та /або адмiнiстративних даних до НКЦПФР</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"Страхова компанiя "АRКС"</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акціонерне товариство</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20474912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04070, Україна, Київська обл., Подiльський р-н, м. Київ, вул. Iллiнська, 8</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АЕ №522547</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Нацiональний банк України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24.07.2014</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(044) 2720272</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65.12 - Iншi види страхування, крiм страхування життя.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65.20 - Перестрахування</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66.21 - Оцiнювання ризикiв та завданої шкоди</w:t>
            </w:r>
          </w:p>
        </w:tc>
      </w:tr>
      <w:tr w:rsidR="00E11C64" w:rsidRPr="009E61E1">
        <w:trPr>
          <w:trHeight w:val="200"/>
        </w:trPr>
        <w:tc>
          <w:tcPr>
            <w:tcW w:w="6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Страхова дiяльнiсть</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2000"/>
        <w:gridCol w:w="2000"/>
        <w:gridCol w:w="1900"/>
        <w:gridCol w:w="2000"/>
        <w:gridCol w:w="2000"/>
        <w:gridCol w:w="3000"/>
      </w:tblGrid>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Облік часток особи в обліковій системі часток</w:t>
            </w:r>
          </w:p>
        </w:tc>
      </w:tr>
      <w:tr w:rsidR="00E11C64" w:rsidRPr="009E61E1">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w:t>
            </w:r>
          </w:p>
        </w:tc>
      </w:tr>
      <w:tr w:rsidR="00E11C64" w:rsidRPr="009E61E1">
        <w:trPr>
          <w:trHeight w:val="300"/>
        </w:trPr>
        <w:tc>
          <w:tcPr>
            <w:tcW w:w="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Акцiї простi iменнi</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18/08/1/11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19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Права та обов'язки акцiонерiв визначенi роздiлом 5 Закону України "Про акцiонернi товариства" та Статутом ПрАТ "Запорiжсклофлюс".</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Кожна проста акцiя надає акцiонеру - її власнику, однакову сукупнiсть прав, включаючи право на: участь в управлiннi Товариством; отримання дивiдендiв у випадку, коли рiшення про їх нарахування та сплату прийнято Загальними зборами акцiонерiв; отримання у разi лiквiдацiї Товариства частини його </w:t>
            </w:r>
            <w:r w:rsidRPr="009E61E1">
              <w:rPr>
                <w:rFonts w:ascii="Times New Roman CYR" w:eastAsiaTheme="minorEastAsia" w:hAnsi="Times New Roman CYR" w:cs="Times New Roman CYR"/>
              </w:rPr>
              <w:lastRenderedPageBreak/>
              <w:t xml:space="preserve">майна або вартостi частини майна Товариства; отримання iнформацiї про господарську дiяльнiсть Товариства; переважне право на придбання акцiй додаткової емiсiї (крiм випадку прийняття Загальними зборами рiшення про невикористання такого права); вiдчуження належних їм акцiї або їх частини iншим акцiонерам, третiм особам або Товариству без згоди iнших акцiонерiв Товариства; вимагати здiйснення обов'язкового придбання належних йому акцiй особою (особами, що дiють спiльно), яка є власником домiнуючого контрольного пакета акцiй Товариства у порядку, </w:t>
            </w:r>
            <w:r w:rsidRPr="009E61E1">
              <w:rPr>
                <w:rFonts w:ascii="Times New Roman CYR" w:eastAsiaTheme="minorEastAsia" w:hAnsi="Times New Roman CYR" w:cs="Times New Roman CYR"/>
              </w:rPr>
              <w:lastRenderedPageBreak/>
              <w:t xml:space="preserve">визначеному чинним законодавством; вимагати здiйснення обов'язкового викупу Товариством належних йому голосуючих акцiй, якщо вiн зареєструвався для участi у Загальних зборах та голосував проти прийняття Загальними зборами рiшення про злиття, приєднання, подiл, перетворення, видiл, змiну типу Товариства; надання згоди на вчинення Товариством значних правочинiв та правочину, щодо якого є заiнтересованiсть; змiну розмiру статутного капiталу; вiдмову вiд використання переважного права акцiонера на придбання акцiй додаткової емiсiї у процесi їх розмiщення. </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Акцiонери </w:t>
            </w:r>
            <w:r w:rsidRPr="009E61E1">
              <w:rPr>
                <w:rFonts w:ascii="Times New Roman CYR" w:eastAsiaTheme="minorEastAsia" w:hAnsi="Times New Roman CYR" w:cs="Times New Roman CYR"/>
              </w:rPr>
              <w:lastRenderedPageBreak/>
              <w:t xml:space="preserve">Товариства зобов'язанi: дотримуватися вимог Статуту та внутрiшнiх документiв Товариства; виконувати рiшення Загальних зборiв, iнших органiв Товариства; виконувати свої зобов'язання перед Товариством, у тому числi пов'язанi з майновою участю; оплачувати акцiї у розмiрi, в порядку та засобами, що передбаченi Статутом Товариства; здiйснити обов'язковий продаж своїх акцiй на вимогу особи (осiб, що дiють спiльно), яка є власником домiнуючого контрольного пакета акцiй; не розголошувати комерцiйну таємницю та конфiденцiйну iнформацiю про дiяльнiсть Товариства; не здiйснювати дiї, </w:t>
            </w:r>
            <w:r w:rsidRPr="009E61E1">
              <w:rPr>
                <w:rFonts w:ascii="Times New Roman CYR" w:eastAsiaTheme="minorEastAsia" w:hAnsi="Times New Roman CYR" w:cs="Times New Roman CYR"/>
              </w:rPr>
              <w:lastRenderedPageBreak/>
              <w:t>якi завдають збиткiв iнтересам Товариства, його посадовим особам або акцiонерам Товариства, а також дiї, якi перешкоджають дiяльностi Товариства, його посадових осiб або акцiонерiв Товариства; своєчасно повiдомляти депозитарну установу, яка здiйснює облiк права власностi на цiннi папери Товариства про змiну своїх даних, що мiстяться в системi облiку прав власностi на акцiї та є обов'язковими для iдентифiкацiї особи, як акцiонера;не зловживати правами, якi надаються у зв'язку з володiнням акцiями Товариства.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У Товариства вiдсутня публiчна пропозицiя та/або допуск до торгiв на органiзованих ринках капiталу. Цiннi папери емiтента не включенi до бiржового реєстру фондової бiржи.</w:t>
            </w:r>
          </w:p>
        </w:tc>
        <w:tc>
          <w:tcPr>
            <w:tcW w:w="3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н/д</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E11C64" w:rsidRPr="009E61E1">
        <w:trPr>
          <w:trHeight w:val="200"/>
        </w:trPr>
        <w:tc>
          <w:tcPr>
            <w:tcW w:w="12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Дата реєстрації </w:t>
            </w:r>
            <w:r w:rsidRPr="009E61E1">
              <w:rPr>
                <w:rFonts w:ascii="Times New Roman CYR" w:eastAsiaTheme="minorEastAsia" w:hAnsi="Times New Roman CYR" w:cs="Times New Roman CYR"/>
              </w:rPr>
              <w:lastRenderedPageBreak/>
              <w:t>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Номер свідоцтва </w:t>
            </w:r>
            <w:r w:rsidRPr="009E61E1">
              <w:rPr>
                <w:rFonts w:ascii="Times New Roman CYR" w:eastAsiaTheme="minorEastAsia" w:hAnsi="Times New Roman CYR" w:cs="Times New Roman CYR"/>
              </w:rPr>
              <w:lastRenderedPageBreak/>
              <w:t>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Найменування органу, що зареєстрував </w:t>
            </w:r>
            <w:r w:rsidRPr="009E61E1">
              <w:rPr>
                <w:rFonts w:ascii="Times New Roman CYR" w:eastAsiaTheme="minorEastAsia" w:hAnsi="Times New Roman CYR" w:cs="Times New Roman CYR"/>
              </w:rPr>
              <w:lastRenderedPageBreak/>
              <w:t>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Міжнародний ідентифікаційн</w:t>
            </w:r>
            <w:r w:rsidRPr="009E61E1">
              <w:rPr>
                <w:rFonts w:ascii="Times New Roman CYR" w:eastAsiaTheme="minorEastAsia" w:hAnsi="Times New Roman CYR" w:cs="Times New Roman CYR"/>
              </w:rPr>
              <w:lastRenderedPageBreak/>
              <w:t>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Форма існування </w:t>
            </w:r>
            <w:r w:rsidRPr="009E61E1">
              <w:rPr>
                <w:rFonts w:ascii="Times New Roman CYR" w:eastAsiaTheme="minorEastAsia" w:hAnsi="Times New Roman CYR" w:cs="Times New Roman CYR"/>
              </w:rPr>
              <w:lastRenderedPageBreak/>
              <w:t>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Загальна номінальна </w:t>
            </w:r>
            <w:r w:rsidRPr="009E61E1">
              <w:rPr>
                <w:rFonts w:ascii="Times New Roman CYR" w:eastAsiaTheme="minorEastAsia" w:hAnsi="Times New Roman CYR" w:cs="Times New Roman CYR"/>
              </w:rPr>
              <w:lastRenderedPageBreak/>
              <w:t>вартість, грн</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Частка у статутному </w:t>
            </w:r>
            <w:r w:rsidRPr="009E61E1">
              <w:rPr>
                <w:rFonts w:ascii="Times New Roman CYR" w:eastAsiaTheme="minorEastAsia" w:hAnsi="Times New Roman CYR" w:cs="Times New Roman CYR"/>
              </w:rPr>
              <w:lastRenderedPageBreak/>
              <w:t>капіталі (у відсотках)</w:t>
            </w:r>
          </w:p>
        </w:tc>
      </w:tr>
      <w:tr w:rsidR="00E11C64" w:rsidRPr="009E61E1">
        <w:trPr>
          <w:trHeight w:val="200"/>
        </w:trPr>
        <w:tc>
          <w:tcPr>
            <w:tcW w:w="12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1</w:t>
            </w:r>
          </w:p>
        </w:tc>
        <w:tc>
          <w:tcPr>
            <w:tcW w:w="13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w:t>
            </w:r>
          </w:p>
        </w:tc>
      </w:tr>
      <w:tr w:rsidR="00E11C64" w:rsidRPr="009E61E1">
        <w:trPr>
          <w:trHeight w:val="200"/>
        </w:trPr>
        <w:tc>
          <w:tcPr>
            <w:tcW w:w="12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24.02.2011</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18/08/1/11</w:t>
            </w:r>
          </w:p>
        </w:tc>
        <w:tc>
          <w:tcPr>
            <w:tcW w:w="24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Запорiзьке територiальне управлiння Державної комiсiї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UA 4000114607</w:t>
            </w:r>
          </w:p>
        </w:tc>
        <w:tc>
          <w:tcPr>
            <w:tcW w:w="16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14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109 470,16</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100</w:t>
            </w:r>
          </w:p>
        </w:tc>
      </w:tr>
      <w:tr w:rsidR="00E11C64" w:rsidRPr="009E61E1">
        <w:trPr>
          <w:trHeight w:val="200"/>
        </w:trPr>
        <w:tc>
          <w:tcPr>
            <w:tcW w:w="2600" w:type="dxa"/>
            <w:gridSpan w:val="2"/>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Протягом звiтного року торгiвля цiнними паперами на внутрiшнiх та зовнiшнiх ринках  не здiйснювалася. Iнформацiя щодо факту допуску/скасування допуску цiнних паперiв до торгiв на регульованому фондовому ринку вiдсутня. Додаткового випуску цiнних паперiв Товариство в звiтному роцi не здiйснювало, тому вiдсутня iнформацiя щодо мети емiсiї та спосiбу їх розмiщення. Акцiї Товариства не включенi до бiржового реєстру фордової бiржи.</w:t>
            </w:r>
          </w:p>
          <w:p w:rsidR="00E11C64" w:rsidRPr="009E61E1" w:rsidRDefault="00E11C64">
            <w:pPr>
              <w:widowControl w:val="0"/>
              <w:autoSpaceDE w:val="0"/>
              <w:autoSpaceDN w:val="0"/>
              <w:adjustRightInd w:val="0"/>
              <w:spacing w:after="0" w:line="240" w:lineRule="auto"/>
              <w:jc w:val="both"/>
              <w:rPr>
                <w:rFonts w:ascii="Times New Roman CYR" w:eastAsiaTheme="minorEastAsia" w:hAnsi="Times New Roman CYR" w:cs="Times New Roman CYR"/>
              </w:rPr>
            </w:pPr>
          </w:p>
          <w:p w:rsidR="00E11C64" w:rsidRPr="009E61E1" w:rsidRDefault="00E11C64">
            <w:pPr>
              <w:widowControl w:val="0"/>
              <w:autoSpaceDE w:val="0"/>
              <w:autoSpaceDN w:val="0"/>
              <w:adjustRightInd w:val="0"/>
              <w:spacing w:after="0" w:line="240" w:lineRule="auto"/>
              <w:jc w:val="both"/>
              <w:rPr>
                <w:rFonts w:ascii="Times New Roman CYR" w:eastAsiaTheme="minorEastAsia" w:hAnsi="Times New Roman CYR" w:cs="Times New Roman CYR"/>
              </w:rPr>
            </w:pP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850"/>
        <w:gridCol w:w="3850"/>
        <w:gridCol w:w="3850"/>
        <w:gridCol w:w="3850"/>
      </w:tblGrid>
      <w:tr w:rsidR="00E11C64" w:rsidRPr="009E61E1">
        <w:trPr>
          <w:trHeight w:val="200"/>
        </w:trPr>
        <w:tc>
          <w:tcPr>
            <w:tcW w:w="3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інших не голосуючих акцій, шт.</w:t>
            </w:r>
          </w:p>
        </w:tc>
      </w:tr>
      <w:tr w:rsidR="00E11C64" w:rsidRPr="009E61E1">
        <w:trPr>
          <w:trHeight w:val="200"/>
        </w:trPr>
        <w:tc>
          <w:tcPr>
            <w:tcW w:w="3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385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UA 400011460</w:t>
            </w:r>
          </w:p>
        </w:tc>
        <w:tc>
          <w:tcPr>
            <w:tcW w:w="38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4868957</w:t>
            </w:r>
          </w:p>
        </w:tc>
        <w:tc>
          <w:tcPr>
            <w:tcW w:w="38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38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604551</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2000"/>
        <w:gridCol w:w="2000"/>
        <w:gridCol w:w="2000"/>
        <w:gridCol w:w="2000"/>
        <w:gridCol w:w="1700"/>
        <w:gridCol w:w="1700"/>
      </w:tblGrid>
      <w:tr w:rsidR="00E11C64" w:rsidRPr="009E61E1">
        <w:trPr>
          <w:trHeight w:val="300"/>
        </w:trPr>
        <w:tc>
          <w:tcPr>
            <w:tcW w:w="4000" w:type="dxa"/>
            <w:vMerge w:val="restart"/>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за типами акцій</w:t>
            </w:r>
          </w:p>
        </w:tc>
      </w:tr>
      <w:tr w:rsidR="00E11C64" w:rsidRPr="009E61E1">
        <w:trPr>
          <w:trHeight w:val="300"/>
        </w:trPr>
        <w:tc>
          <w:tcPr>
            <w:tcW w:w="4000" w:type="dxa"/>
            <w:vMerge/>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привілейовані іменні</w:t>
            </w:r>
          </w:p>
        </w:tc>
      </w:tr>
      <w:tr w:rsidR="00E11C64" w:rsidRPr="009E61E1">
        <w:trPr>
          <w:trHeight w:val="3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Iсаєв Василь Миколайович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30 655</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0,56</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30 655</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Барабаш Наталя Михайлiвна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20 480</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0,37</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20 480</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Врублевська Тетяна Вiкторiвна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20 890</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0,38</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20 890</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Кiшка Лариса Миколаївна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11 643</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0,21</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11 643</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Комаренко Галина Вiкторiвна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7 537</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0,14</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7 537</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Кореньков Сергiй Вiкторович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15 525</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0,28</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15 525</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Лисцев Олександр Сергiйович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80 076</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1,46</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80 076</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Мiрiленко Людмила Миколаївна</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596 933</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10,91</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596 933</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Нетяга Володимир Iванович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1 062 074</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19,4</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1 062 074</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Оселедчик Сергiй Юрiйович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12 724</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0,23</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12 724</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Палiй Василь Iванович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11 797</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0,22</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11 797</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Осiпов Антон Олегович</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286 588</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5,23</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286 588</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2 156 922</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39,39</w:t>
            </w:r>
          </w:p>
        </w:tc>
        <w:tc>
          <w:tcPr>
            <w:tcW w:w="1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2 156 922</w:t>
            </w:r>
          </w:p>
        </w:tc>
        <w:tc>
          <w:tcPr>
            <w:tcW w:w="17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E11C64" w:rsidRPr="009E61E1">
        <w:trPr>
          <w:trHeight w:val="300"/>
        </w:trPr>
        <w:tc>
          <w:tcPr>
            <w:tcW w:w="1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E11C64" w:rsidRPr="009E61E1">
        <w:trPr>
          <w:trHeight w:val="300"/>
        </w:trPr>
        <w:tc>
          <w:tcPr>
            <w:tcW w:w="1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w:t>
            </w:r>
          </w:p>
        </w:tc>
      </w:tr>
      <w:tr w:rsidR="00E11C64" w:rsidRPr="009E61E1">
        <w:trPr>
          <w:trHeight w:val="300"/>
        </w:trPr>
        <w:tc>
          <w:tcPr>
            <w:tcW w:w="1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24.02.2011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18/08/1/11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UA4000114607</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2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109 470,16</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4 869 571</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643</w:t>
            </w:r>
          </w:p>
        </w:tc>
        <w:tc>
          <w:tcPr>
            <w:tcW w:w="28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1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Рішення суду або уповноваженого державного органу, яким накладено обмеження: д/н від 10.10.2005</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Cтрок обмеження: д/н</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Характеристика обмеження: Вiдповiдно до даних останнього перелiку акцiонерiв Товариства, загальна кiлькiсть голосуючих акцiй  складає 4869571 штук, що становить 88,97% вiд загальної кiлькостi акцiй Товариства. Кiлькiсть цiнних паперiв, обтяжених зобов'язаннями : безумовне блокування внаслiдок рiшення суду - 643 акцiй, У Товариства немає iнформацiї щодо номеру рiшенням суду, строку та характеристики такого обмеження. Кiлькiсть голосуючих акцiй, права голосу за якими обмежено внаслiдок того, що власники не уклали з депозитарною установою договору про обслуговування рахунка в цiнних паперах вiд власного iменi та не здiйснили переказ належних їм прав на цiннi папери на свiй рахунок у цiнних паперах, вiдкритий в iншiй депозитарнiй установi - 603294 штук; кiлькiсть голосуючих акцiй, права голосу за якими за результатами обмеження таких прав передано iншiй особi - немає. </w:t>
            </w:r>
          </w:p>
        </w:tc>
      </w:tr>
      <w:tr w:rsidR="00E11C64" w:rsidRPr="009E61E1">
        <w:trPr>
          <w:trHeight w:val="300"/>
        </w:trPr>
        <w:tc>
          <w:tcPr>
            <w:tcW w:w="1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24.02.2011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18/08/1/11</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UA4000114607</w:t>
            </w:r>
          </w:p>
        </w:tc>
        <w:tc>
          <w:tcPr>
            <w:tcW w:w="20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2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109 470,16</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4 869 571</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603 294</w:t>
            </w:r>
          </w:p>
        </w:tc>
        <w:tc>
          <w:tcPr>
            <w:tcW w:w="28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300"/>
        </w:trPr>
        <w:tc>
          <w:tcPr>
            <w:tcW w:w="1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Рішення суду або уповноваженого державного органу, яким накладено обмеження: д/н від 09.07.2025</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Cтрок обмеження: д/н</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Характеристика обмеження: Вiдповiдно до даних останнього перелiку акцiонерiв Товариства, загальна кiлькiсть голосуючих акцiй  складає 4869571 штук, що становить 88,97% вiд загальної кiлькостi акцiй Товариства. Кiлькiсть цiнних паперiв, обтяжених зобов'язаннями : безумовне блокування внаслiдок рiшення суду - 643 акцiй, У Товариства немає iнформацiї щодо номеру рiшенням суду, строку та характеристики такого обмеження. </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Кiлькiсть голосуючих акцiй, право голосу за якими обмежено Нацiональним Депозитарiєм України внаслiдок того, що власники не уклали з депозитарною установою договору про обслуговування рахунка в цiнних паперах вiд власного iменi та не здiйснили переказ належних їм прав на цiннi папери на свiй рахунок у цiнних паперах, вiдкритий в iншiй депозитарнiй установi - 603294 штук. Кiлькiсть голосуючих акцiй, права голосу за якими за результатами обмеження таких прав передано iншiй особi - немає. </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6837" w:h="11905" w:orient="landscape"/>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E11C64" w:rsidRPr="009E61E1">
        <w:trPr>
          <w:trHeight w:val="300"/>
        </w:trPr>
        <w:tc>
          <w:tcPr>
            <w:tcW w:w="402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Відсоткове вираження по відношенню від сукупного доходу особи за результатами звітного року</w:t>
            </w:r>
          </w:p>
        </w:tc>
      </w:tr>
      <w:tr w:rsidR="00E11C64" w:rsidRPr="009E61E1">
        <w:trPr>
          <w:trHeight w:val="300"/>
        </w:trPr>
        <w:tc>
          <w:tcPr>
            <w:tcW w:w="402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r>
      <w:tr w:rsidR="00E11C64" w:rsidRPr="009E61E1">
        <w:trPr>
          <w:trHeight w:val="300"/>
        </w:trPr>
        <w:tc>
          <w:tcPr>
            <w:tcW w:w="402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20.59 - Виробництво iншої хiмiчної продукцiї,н.в.i.у</w:t>
            </w:r>
          </w:p>
        </w:tc>
        <w:tc>
          <w:tcPr>
            <w:tcW w:w="29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24972</w:t>
            </w:r>
          </w:p>
        </w:tc>
        <w:tc>
          <w:tcPr>
            <w:tcW w:w="29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22,8</w:t>
            </w:r>
          </w:p>
        </w:tc>
      </w:tr>
      <w:tr w:rsidR="00E11C64" w:rsidRPr="009E61E1">
        <w:trPr>
          <w:trHeight w:val="300"/>
        </w:trPr>
        <w:tc>
          <w:tcPr>
            <w:tcW w:w="402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20.13 - Виробництво iнших основних неорганiчних хiмiчних речовин</w:t>
            </w:r>
          </w:p>
        </w:tc>
        <w:tc>
          <w:tcPr>
            <w:tcW w:w="29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84339</w:t>
            </w:r>
          </w:p>
        </w:tc>
        <w:tc>
          <w:tcPr>
            <w:tcW w:w="29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77</w:t>
            </w:r>
          </w:p>
        </w:tc>
      </w:tr>
      <w:tr w:rsidR="00E11C64" w:rsidRPr="009E61E1">
        <w:trPr>
          <w:trHeight w:val="300"/>
        </w:trPr>
        <w:tc>
          <w:tcPr>
            <w:tcW w:w="402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23.13 - Виробництво порожнистого скла</w:t>
            </w:r>
          </w:p>
        </w:tc>
        <w:tc>
          <w:tcPr>
            <w:tcW w:w="29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w:t>
            </w:r>
          </w:p>
        </w:tc>
        <w:tc>
          <w:tcPr>
            <w:tcW w:w="29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0,2</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https://www.steklo-flus.com/images/sharer/2025/financialreport2024.pdf</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
        <w:gridCol w:w="5300"/>
        <w:gridCol w:w="4000"/>
      </w:tblGrid>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Повне найменування</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Привавтне акцiонерне товавриство "Запорiжсклофлюс"</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00293255</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 з обмеженою вiдповiдальнiстю "Аудиторська фiрма "капiтал Аудит"</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38520462</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д/н</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4549 31.01.2013</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4549</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3 - суб'єкти аудиторської діяльності, які мають право проводити обов'язковий аудит фінансової звітності</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19.05.2025 по 27.06.2025</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Думка аудитора (немодифікована - "01"; із </w:t>
            </w:r>
            <w:r w:rsidRPr="009E61E1">
              <w:rPr>
                <w:rFonts w:ascii="Times New Roman CYR" w:eastAsiaTheme="minorEastAsia" w:hAnsi="Times New Roman CYR" w:cs="Times New Roman CYR"/>
                <w:sz w:val="24"/>
                <w:szCs w:val="24"/>
              </w:rPr>
              <w:lastRenderedPageBreak/>
              <w:t>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01 - немодифікована</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11</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18/24 від 29.10.2024</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початку та дата закінчення аудиту</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01.11.2023 по 28.07.2024</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аудиторського звіту</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27.06.2025</w:t>
            </w:r>
          </w:p>
        </w:tc>
      </w:tr>
      <w:tr w:rsidR="00E11C64" w:rsidRPr="009E61E1">
        <w:trPr>
          <w:trHeight w:val="200"/>
        </w:trPr>
        <w:tc>
          <w:tcPr>
            <w:tcW w:w="7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ПрАТ "Запорiжсклофлюс" не вiдноситься до пiдпрємства, що становить суспiльний iнтерес. </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Аудиторський звіт до річної фінансової звітності:</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АУДИТОРСЬКИЙ ЗВIТ (ЗВIТ НЕЗАЛЕЖНОГО АУДИТОРА)</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щодо повного пакету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Приватного акцiонерного товариства "Запорiжсклофлюс"  за 2024 рiк</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Власникам цiнних паперiв</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Приватного акцiонерного товариства "Запорiжсклофлюс"</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Нацiональнiй комiсiї з цiнних паперiв</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та фондового ринку України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Звiт щодо аудиту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Думка iз застереженням</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Ми провели аудит фiнансової звiтностi Приватного акцiонерного товариства "Запорiжсклофлюс", що складається з  Балансу (Звiту про фiнансовий стан) на 31 грудня 2024 року, Звiту про фiнансовi результати (Звiту про сукупний дохiд), Звiту про рух грошових коштiв (за прямим методом) та Звiту про власний капiтал за рiк, що закiнчився зазначеною датою, i примiток до фiнансової звiтностi, включаючи стислий виклад значущих облiкових полiтик.</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 нашу думку, за винятком питання, описаного в роздiлi "Основа для думки iз застереженням" нашого звiту, фiнансова звiтнiсть, що додається, вiдображає достовiрно, в  усiх суттєвих аспектах, фiнансовий стан Пiдприємства на 31 грудня 2024 року, його фiнансовi результати i грошовi потоки за рiк, що закiнчився зазначеною датою, вiдповiдно до Стандартiв бухгалтерського облiку МСФЗ у редакцiї, затвердженiй Радою з Мiжнародних стандартiв бухгалтерського облiку, та вiдповiдає вимогам Закону України "Про бухгалтерський облiк та фiнансову звiтнiсть в Українi" вiд 16.07.1999 № 996 щодо складання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Основа для думки iз застереженням</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У зв'язку iз тим, що дата нашого призначення приходиться пiзнiше 01.01.2024 року, ми не могли спостерiгати за iнвентаризацiєю запасiв на початок звiтного року. За допомогою альтернативних процедур ми не змогли впевнитись у кiлькостi запасiв, утримуваних Товариством станом на 01.01.2024 року, якi вiдображенi у ряд. 1100 Звiту про фiнансовий стан у розмiрi 33 595 тис. грн. Вiдповiдно, ми не змогли визначити, чи iснує потреба в будь-яких коригуваннях запасiв, вiдображених, чи не вiдображених в облiку, а також елементiв, що входять до складу Звiту про сукупний дохiд. Звiту про змiни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власному капiталi.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Ми провели аудит вiдповiдно до Мiжнародних стандартiв аудиту (МСА). Нашу вiдповiдальнiсть згiдно з цими стандартами викладено в роздiлi "Вiдповiдальнiсть аудитора за аудит фiнансової звiтностi" нашого звiту. Ми є незалежними по вiдношенню</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Пiдприємства згiдно з Мiжнародним кодексом етики професiйних бухгалтерiв (включаючи Мiжнароднi стандарти незалежностi) (Кодекс РМСЕБ) та етичними вимогами, застосовними в Українi до нашого аудиту фiнансової звiтностi, а також</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виконали iншi обов'язки з етики вiдповiдно до цих вимог та Кодексу РМСЕБ. Ми вважаємо, що отриманi нами аудиторськi докази є достатнiми i прийнятними для використання їх як основи для нашої думки iз застереженням.</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Суттєва невизначенiсть, що стосується безперервностi дiяльностi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Дана фiнансова звiтнiсть була пiдготовлена на основi принципу безперервностi дiяльностi, який передбачає надання послуг та погашення зобов'язань у ходi звичайної дiяльностi.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Дiяльнiсть Компанiї, як i дiяльнiсть iнших пiдприємств в Українi, зазнає та продовжить зазнавати у найближчому майбутньому впливу невизначеностi, спричиненої повномасштабною збройною агресiєю та вторгненням вiйськ росiйської федерацiї на територiю України.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Ми звертаємо увагу на примiтку 23 "Припущення щодо функцiонування пiдприємства у найближчому майбутньому", в якiй розкривається, що iснує суттєва невизначенiсть що може поставити пiд сумнiв здатнiсть Пiдприємства продовжувати 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дiяльнiсть на безперервнiй основi внаслiдок воєнної агресiї росiйської федерацiї.</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 дату випуску цiєї фiнансової звiтностi воєнний конфлiкт не було вирiшено, i його наслiдки наразi невизначенi, здiйснюються постiйнi обстрiли територiї України, руйнується енергетична, транспортна та iнша iнфраструктура. Пiдприємство буде спостерiгати за розвитком ситуацiї та впливу факторiв на фiнансовi звiти та готове буде внести коригування до фiнансової звiтностi за необхiдностi.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Нашу думку з цього питання не було модифiковано.</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Пояснювальний параграф</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Звертаємо увагу користувачiв на примiтку 24 "Подiї пiсля дати балансу".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Пiдприємство за наслiдками дiяльностi у 2023-2024 роках вiдповiдає категорiї малого пiдприємства. ПРАТ "Запорiжсклофлюс" прийняло рiшення iз 01.01.2025 року  вести облiк за Нацiональними положеннями (стандартами) бухгалтерського облiку.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Нашу думку з цього питання не було модифiковано.</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Iнша iнформацiя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Управлiнський персонал Товариства несе вiдповiдальнiсть за iншу iнформацiю, що подається разом з фiнансовою звiтнiстю та звiтом незалежного аудитора.</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Iнша iнформацiя складається iз iнформацiї, яка мiститься у Звiтi про управлiння ПРАТ "ЗАПОРIЖСКЛОФЛЮС" за результатами фiнансово - господарської дiяльностi у 2024 роцi, який є складовою частиною цього звiту, була отримана до дати Звiту аудитора. Iнша iнформацiя не є окремою фiнансовою звiтнiстю та нашим звiтом аудитора щодо неї.</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Наша думка щодо фiнансової звiтностi не поширюється на iншу iнформацiю та ми не робимо висновку з будь-яким рiвнем впевненостi щодо цiєї iншої iнформацiї.</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У зв'язку з нашим аудитом фiнансової звiтностi нашою вiдповiдальнiстю є ознайомитися з iншою iнформацiєю, iдентифiкованою вище, та при цьому розглянути, чи iснує суттєва невiдповiднiсть мiж iншою iнформацiєю i фiнансовою звiтнiстю або нашими знаннями, отриманими пiд час аудиту, або чи ця iнша iнформацiя має вигляд такої, що</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мiстить суттєве викривлення.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Якщо на основi проведеної нами роботи стосовно iншої iнформацiї, отриманої до дати звiту аудитора, ми доходимо висновку, що iснує суттєве викривлення цiєї iншої iнформацiї, ми зобов'язанi повiдомити про цей факт.</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Компанiя планує пiдготувати та оприлюднити Рiчну iнформацiю емiтента цiнних паперiв за 2024 рiк пiсля дати оприлюднення цього Аудиторського звiту (Звiту незалежного аудитора). Пiсля отримання та ознайомлення з Рiчною iнформацiєю емiтента</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цiнних паперiв, якщо ми дiйдемо висновку, що в ньому iснує суттєве викривлення, ми повiдомимо про це питання тим, кого надiлено найвищими повноваженнями.</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Звiт про управлiння ПРАТ "ЗАПОРIЖСКЛОФЛЮС" за 2024 рiк.</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Як описано вище у роздiлi "Основа для думки iз застереженням", ми не змогли пiдтвердити вартiсть запасiв, вiдображених Товариством станом на 01.01.2024 року в балансi пiдприємства. Вiдповiдно ми не можемо дiйти висновку, чи iнша iнформацiя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мiстить суттєве викривлення з цього питання.</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Iншi питання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Аудит фiнансової звiтностi Приватного акцiонерного товариства "ЗАПОРIЖСКЛОФЛЮС" за 2023 рiк було проведено аудитором ГIП "Аудиторська фiрма "Синтез-Аудит-Фiнанс", ЄДРПОУ 23877071, яким 30.07.2024 висловлено немодифiковану думку.</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Вiдповiдальнiсть управлiнського персоналу та тих, кого надiлено найвищими повноваженнями, за фiнансову звiтнiсть</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Управлiнський персонал несе вiдповiдальнiсть за складання i достовiрне подання фiнансової звiтностi вiдповiдно до МСФЗ та за таку систему внутрiшнього контролю, яку управлiнський персонал визначає потрiбною для того, щоб забезпечити складання фiнансової звiтностi, що не мiстить суттєвих викривлень внаслiдок шахрайства або помилки.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 складаннi фiнансової звiтностi управлiнський персонал несе вiдповiдальнiсть за оцiнку здатностi компанiї продовжувати свою дiяльнiсть на безперервнiй основi, розкриваючи, де це застосовно, питання, що стосуються безперервностi дiяльностi, та використовуючи припущення про безперервнiсть дiяльностi як основи для бухгалтерського облiку, крiм випадкiв, якщо управлiнський персонал або планує лiквiдувати компанiю чи припинити дiяльнiсть, або не має iнших реальних альтернатив цьому.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Тi, кого надiлено найвищими повноваженнями, несуть вiдповiдальнiсть за нагляд за процесом фiнансового звiтування компанiї.</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Вiдповiдальнiсть аудитора за аудит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Нашими цiлями є отримання обгрунтованої впевненостi, що фiнансова звiтнiсть у цiлому не мiстить суттєвого викривлення внаслiдок шахрайства або помилки, та випуск звiту аудитора, що мiстить нашу думку. Обгрунтована впевненiсть є високим рiвнем впевненостi, проте не гарантує, що аудит, проведений вiдповiдно до МСА, завжди виявить суттєве викривлення, якщо воно iснує. Викривлення можуть бути результатом шахрайства або помилки; вони вважаються суттєвими, якщо окремо або в сукупностi, як обгрунтовано очiкується, вони можуть впливати на економiчнi рiшення користувачiв, що приймаються на основi цiєї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Виконуючи аудит вiдповiдно до вимог МСА, ми використовуємо професiйне судження та професiйний скептицизм протягом усього завдання з аудиту. Крiм того, ми: </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iдентифiкуємо та оцiнюємо ризики суттєвого викривлення фiнансової звiтностi внаслiдок шахрайства чи помилки, розробляємо й виконуємо аудиторськi процедури у вiдповiдь на цi ризики, а також отримуємо аудиторськi докази, що є достатнiми та прийнятними для використання їх як основи для нашої думки. Ризик невиявлення суттєвого викривлення внаслiдок шахрайства є вищим, нiж для викривлення внаслiдок помилки, оскiльки шахрайство може включати змову, пiдробку, навмиснi пропуски, неправильнi твердження або нехтування заходами внутрiшнього контролю;</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отримуємо розумiння заходiв внутрiшнього контролю, що стосуються аудиту, для розробки аудиторських процедур, якi б вiдповiдали обставинам, а не для висловлення думки щодо ефективностi системи внутрiшнього контролю;</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оцiнюємо прийнятнiсть застосованих облiкових полiтик та обгрунтованiсть облiкових оцiнок i вiдповiдних розкриттiв iнформацiї, зроблених управлiнським персоналом;</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доходимо висновку щодо прийнятностi використання управлiнським персоналом припущення про безперервнiсть дiяльностi як основи для бухгалтерського облiку та, на основi отриманих аудиторських доказiв, робимо висновок, чи iснує суттєва</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невизначенiсть щодо подiй або умов, якi поставили б пiд значний сумнiв можливiсть компанiї </w:t>
      </w:r>
      <w:r>
        <w:rPr>
          <w:rFonts w:ascii="Times New Roman CYR" w:hAnsi="Times New Roman CYR" w:cs="Times New Roman CYR"/>
          <w:sz w:val="24"/>
          <w:szCs w:val="24"/>
        </w:rPr>
        <w:lastRenderedPageBreak/>
        <w:t>продовжити безперервну дiяльнiсть. Якщо ми доходимо висновку щодо iснування такої суттєвої невизначеностi, ми повиннi привернути увагу в своєму звiтi аудитора до вiдповiдних розкриттiв iнформацiї у фiнансовiй звiтностi або, якщо такi розкриття iнформацiї є неналежними, модифiкувати свою думку. Нашi висновки грунтуються на аудиторських доказах, отриманих до дати нашого звiту аудитора. Втiм майбутнi подiї або умови можуть примусити компанiю припинити свою дiяльнiсть на безперервнiй основi.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оцiнюємо загальне подання, структуру та змiст фiнансової звiтностi включно з розкриттями iнформацiї, а також те, чи показує фiнансова звiтнiсть операцiї та подiї, що покладенi в основу її складання, так, щоб досягти достовiрного вiдображення.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Ми повiдомляємо тим, кого надiлено найвищими повноваженнями, iнформацiю про запланований обсяг i час проведення аудиту та суттєвi аудиторськi результати, включаючи будь-якi суттєвi недолiки заходiв внутрiшнього контролю, виявленi нами пiд час аудиту.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Ми також надаємо тим, кого надiлено найвищими повноваженнями, твердження, що ми виконали вiдповiднi етичнi вимоги щодо незалежностi, та повiдомляємо їм про всi стосунки й iншi питання, якi могли б обгрунтовано вважатись такими, що впливають на нашу незалежнiсть, а також, де це застосовно, щодо вiдповiдних застережних заходiв.</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Звiт щодо вимог iнших законодавчих та нормативних актiв.</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2.1. Виконання вимог, передбачених рiшенням НКЦПФР вiд 22.07.2024 № 555.</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Повне найменування юридичної особи: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Думка аудитора щодо повного розкриття Товариством iнформацiї про кiнцевого бенефiцiарного власника (у разi наявностi) та структуру власностi: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 нашу думку, Приватне акцiонерне товариство "Запорiжсклофлюс" станом на дату Аудиторського звiту (Звiту незалежного аудитора) щодо даної фiнансової звiтностi в повнiй мiрi у вiдповiдностi до вимог, встановлених Положенням про форму та змiст структури власностi, затвердженим наказом Мiнiстерства фiнансiв України вiд 19.03.2021 № 163, розкрито iнформацiю про кiнцевого бенефiцiарного власника у п. 19 Примiток до цiєї фiнансової звiтностi.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структуру власностi у вiдповiдностi до вимог, встановлених Положенням про форму та змiст структури власностi, затвердженим наказом Мiнiстерства фiнансiв України вiд 19.03.2021 № 163, розкрита у п. 18 Примiток до цiєї фiнансової звiтностi, з посиланням на сторiнку власного сайту та пiдтверджується iнформацiєю Єдиного державного реєстру юридичних осiб, фiзичних осiб-пiдприємцiв та громадських формувань.</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Iнформацiя про те, чи є Товариство контролером/учасником небанкiвської фiнансової групи: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 станом на дату Аудиторського звiту (Звiту незалежного аудитора) щодо даної фiнансової звiтностi не є контролером /учасником небанкiвської фiнансової групи,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 станом на дату Аудиторського звiту (Звiту незалежного аудитора) щодо даної фiнансової звiтностi не є пiдприємством, що становить суспiльний iнтерес.</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Iнформацiя про наявнiсть у Товариства материнських/дочiрнiх компанiй iз зазначенням найменування, органiзацiйно-правової форми, мiсцезнаходження (у разi наявностi):</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 станом на дату Аудиторського звiту (Звiту незалежного аудитора) щодо даної фiнансової звiтностi не має материнської компанiї.</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 станом на дату Аудиторського звiту (Звiту незалежного аудитора) щодо даної фiнансової звiтностi не має дочiрнiх компанiй.</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5. Iнформацiя про дотримання пруденцiйних нормативiв професiйної дiяльностi на фондовому ринку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Вiдповiдно до "Положення щодо пруденцiйних нормативiв професiйної дiяльностi на фондовому ринку та вимог до системи управлiння ризиками", затвердженого рiшенням НКЦПФР №1597 вiд 1 жовтня 2015 року, пруденцiйнi показники, встановленi НКЦПФР для вiдповiдного виду дiяльностi для професiйних учасникiв ринкiв капiталу та органiзованих товарних ринкiв, не поширюється на </w:t>
      </w:r>
      <w:r>
        <w:rPr>
          <w:rFonts w:ascii="Times New Roman CYR" w:hAnsi="Times New Roman CYR" w:cs="Times New Roman CYR"/>
          <w:sz w:val="24"/>
          <w:szCs w:val="24"/>
        </w:rPr>
        <w:lastRenderedPageBreak/>
        <w:t>Пiдприємство.</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2.2. Виконання вимог ст. 127 Закону України "Про ринки капiталу та органiзованi товарнi ринки" вiд 23.02.2006 № 3480.</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Приватне акцiонерне товариство "Запорiжсклофлюс" скористалось виключенням, викладеним у абз. 17 п. З ст. 127 Закону України "Про ринки капiталу та органiзованi товарнi ринки" вiд 23.02.2006 № 3480, i не надавало нам для ознайомлення Звiт про корпоративне управлiння Приватного акцiонерного товариства "Запорiжсклофлюс" за 2024 рiк.</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Основнi вiдомостi про аудиторську фiрму</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Повне найменування аудиторської фiрми Товариство з обмеженою вiдповiдальнiстю "Аудиторська фiрма "Капiтал Аудит"</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Код за ЄДРПОУ 38520462</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Номер, дата включення до Реєстру аудиторських фiрм та аудиторiв, виданого АПУ; роздiл реєстру, номер реєстрацiї 4549, 11.04.2019</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Свiдоцтво про включення до Реєстру аудиторських фiрм та аудиторiв №4549, видане рiшенням АПУ №264/3 вiд 31.01.2013р.</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Роздiл реєстру - 3 - "Суб'єкти аудиторської дiяльностi, якi мають право проводити обов'язковий аудит фiнансової звiтностi", номер реєстрацiї 4549. Роздiл реєстру - 4 - "Суб'єкти аудиторської дiяльностi, якi мають право проводити обов'язковий</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аудит фiнансової звiтностi пiдприємств, що становлять суспiльний iнтерес", номер реєстрацiї 4549.</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Номер та дата видачi Свiдоцтва про вiдповiднiсть системи контролю якостi, виданого Аудиторською палатою України</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Наказ ДУ "ОРГАН СУСПIЛЬНОГО НАГЛЯДУ ЗА АУДИТОРСЬКОЮ ДIЯЛЬНIСТЮ" вiд 12.12.2022 № 43-кя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Мiсцезнаходження (юридична та фактична адреса) : 69035, м. Запорiжжя, пр. Соборний, 170-Б, прим.№1</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Телефон/факс (061) 213-17-45</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Основнi вiдомостi про умови договору на виконання завдання: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Дата i номер договору на проведення аудиту :   Договiр вiд 29.10.2024 № 18/24</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Дата початку i дата закiнчення проведення аудиту:   "19" травня 2025 р. - "27" червня 2025 р.</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Партнером завдання з аудиту, результатом якого є цей звiт незалежного аудитора, є Черноус О.М.</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реєстрацiї в Реєстрi аудиторiв та суб'єктiв аудиторської дiяльностi, роздiл "Аудитори" 101349)</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Вiд iменi ТОВ "АФ "Капiтал Аудит" директор Дядюра I.Г. (номер реєстрацiї в Реєстрi аудиторiв та суб'єктiв аудиторської дiяльностi, роздiл "Аудитори" 101351)</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69035, м. Запорiжжя, пр. Соборний, 170Б, прим. № 1, тел. (061)213-17-45</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червня 2025 року</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ПрАТ "Запорiжсклофлюс", вiд iменi осiб, якi здiйснюють управлiнськi функцiї та пiдписують рiчну iнформацiю емiтента, заявляє про те, що, наскiльки це їм вiдомо, рiчна фiнансова звiтнiсть, скдадена вiдповiдно до Мiжнародних стандартiв фiнансової звiтностi, що вимагається згiдно iз Законом України "Про бухгалтерський облiк та фiнансову звiтнiсть в Українi", мiстить достовiрну та об'єктивну iнформацiю про стан активiв, пасивiв, фiнансовий стан, прибутки та збитки емiтента, а також про те, що звiт керiвництва мiстить достовiрну та об'єктивну iнформацiю про розвиток i здiйснення господарської дiяльностi та стан емiтента з описом основних ризикiв та невизначеностей, з якими вони стикаються у процесi господарськiй дiяльностi.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 iменi керiвництва - Геральний директор Нетяга Володимир Iванович.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звiтного року звернень до акцiонерiв/учасникiв та iнших стейкхолдерiв вiд Голови Наглядової ради Товариства не здiйснювалось.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звiтного року звернень до акцiонерiв/учасникiв  та iнших стейкхолдерiв вiд Генерального директора Товариства не здiйснювалось.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Метою дiяльностi Товариства є одержання прибутку вiд усiх видiв торгiвельної, комерцiйної, виробничої, посередницької, фiнансової та iншої дiяльностi, в порядку та за умов, визначенних чинним законодавством та Статутом, в iнтересах акцiонерiв та задоволення соцiально-економiчних потреб трудового колективу. Вiрогiдними перспективами подальшого розвитку емiтента є збiльшення конкурентоспроможностi продукцiї та розширення внутрiшнього та зовнiшнього ринкiв збуту, але при цьому слiд зазначити, що Товариство веде свою дiяльнiсть в нестабiльному середовищi, яке iснує на даний час в Українi, i вiдсутнє чiтке уявлення про заходи щодо подолання iснуючої кризи. Основним фактором нестабiльностi є в першу чергу вiйськова агресiя росiйської федерацiї проти України. Повномасштабне вiйськове вторгнення завдало потужного удару по всiх ланках економiчної системи нашої держави. ПрАТ "Запорiжсклофлюс" розташоване на територiях України, на яких можуть вестися бойовi дiї, що заважає повноцiнно працювати. Пiдприємство докладає зусиль для подолання кризи та досягнення показникiв, достатнiх для можливостi обслуговувати свої зобов'язання. Виробничi та логiстичнi витрати бiзнесу зросли, а пропозицiя товарiв i послуг скоротилася внаслiдок руйнування активiв пiдприємства, пошкодження iнфраструктури, порушення ланцюгiв виробництва та постачання, що привело до загального зниження економiчної активностi та погiршення дiлових очiкувань.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вiдбулося значне зростання собiвартостi виробничого процесу, серед основних рушiїв якого - подорожчання енергоресурсiв, iншої сировини, логiстики, iншi ризики, зумовленi воєнним часом.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Воєнний стан в Українi, складне економiчне становище беззаперечно впливають на вiрогiднi перспективи подальшого розвитку емiтента.З огляду на непередбачуванiсть можливих наслiдкiв вище зазначених факторiв, iснує значна невизначенiсть, яка ставить пiд сумнiв здатнiсть Товариства продовжувати дiяльнiсть безперервно. Управлiнський персонал пiдприємства не має намiрiв лiквiдувати пiдприємство чи припинити його дiяльнiсть та вживає необхiдних заходiв для пiдтримки стiйкостi i збереження бiзнесу в нинiшнiх умовах.. Проте, незважаючи на складну ситуацiю, вплив зовнiшнiх та внутрiшнiх факторiв, Товариство планує продовжити здiйснювати основнi види дiяльностi з метою отримання прибутку для пiдтримання свого подальшого розвитку та збереження активiв. Це припущення грунтується на поточних намiрах та фiнансовому станi Пiдприємства.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завданням Товариства є пiдтримка стабiльної роботи в умовах воєнного стану та пов'язаних з ним особливостей функцiювання ринкiв, зниження рiвня витрат, збiльшення споживчих якостей та конкурентоспроможностi продукцiї, оптимiзацiя процесiв забезпечення Товариства енергоресурсами та сировиною. Всi зусилля спрямованi на збереження довготривалих партнерських вiдносин з дiючими контрагентами та залучення до спiвпрацi нових клiєнтiв в цiлях забезпечення стабiльного економiчного стану.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Протягом звiтного перiоду Товариство не укладало деривативних контрактiв та не вчиняло правочинiв щодо деривативних цiнних паперiв, якi могли б вплинути на оцiнку його активiв, зобов'язань, фiнансового стану i доходiв або витрат емiтента.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2024 року Товариством не укладалися деривативнi контракти та не вчинялись правочини щодо деривативних цiнних паперiв емiтента, тому Емiтент не несе фiнансових ризикiв, пов'язаних з обiгом деривативних цiнних паперiв. Намiри щодо вчинення таких правочинiв вiдсутнi. Вiдповiдно до вищезазначеного, iнформацiя щодо завдання та полiтики Емiтента щодо управлiння фiнансовими ризиками, у тому числi полiтики щодо страхування кожного основного виду прогнозованої операцiї, для якої використовуються операцiї хеджування не надається. Товариство управляє своїм капiталом для забезпечностi здатностi продовжувати свою дiяльнiсть на безперервнiй основi за допомогою оптимiзацiї рiвня запозичень.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укладалися деривативнi контракти та не вчинялися правочини щодо деривативних цiнних паперiв емiтента, тому Емiтент не несе фiнансових ризикiв, пов'язаних з обiгом деривативних цiнних паперiв. Вiдповiдно до вищезазначеного, iнформацiя щодо схильностi емiтента до цiнових ризикiв, кредитного ризику, ризику лiквiдностi та/або ризику грошових потокiв не надається.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1) звіт про корпоративне управління</w:t>
      </w: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кодекс корпоративного управління, яким керується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6000"/>
      </w:tblGrid>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6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Прийнято рішення про застосування іншого кодексу</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Назва органу управління, яким прийнято рішення про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Товариство в своїй дiяльностi не керується власним кодексом корпоративного управлiння. Згiдно до п. 30 частини другої статтi 39 Закону України "Про акцiонернi товариства"  та пп.27, п.2.2 частини 2 статтi 13 Статуту, питання затвердження принципiв (кодексу) корпоративного управлiння вiднесено до виключної компетенцiї Загальних зборiв акцiонерiв. Загальними зборами акцiонерiв ПрАТ "Запорiжсклофлюс" кодекс корпоративного управлiння не затверджувався, тому посилання на власний кодекс корпоративного управлiння, яким керується емiтент, не наводиться. Наглядовою радою Товариства (протокол № 26 вiд 20.03.2020 року було прийнято рiшення про затвердження застосовування "Кодексу корпоративного управлiння: ключовi вимоги i рекомендацiї", затвердженого рiшенням Нацiональної комiсiї з цiнних паперiв та фондового ринку № 118 вiд 12.03.2020 року.          </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прийняття рішення щодо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20.03.2020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URL-адреса з текстом кодексу</w:t>
            </w:r>
          </w:p>
        </w:tc>
        <w:tc>
          <w:tcPr>
            <w:tcW w:w="60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https://www.nssmc.gov.ua/wp-content/uploads/2020/03/corporate-governance-code_final_ukr.pdf</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практику корпоративного управління особи, застосовувану понад визначені </w:t>
      </w:r>
      <w:r>
        <w:rPr>
          <w:rFonts w:ascii="Times New Roman CYR" w:hAnsi="Times New Roman CYR" w:cs="Times New Roman CYR"/>
          <w:b/>
          <w:bCs/>
          <w:sz w:val="24"/>
          <w:szCs w:val="24"/>
        </w:rPr>
        <w:lastRenderedPageBreak/>
        <w:t>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1500"/>
        <w:gridCol w:w="4500"/>
      </w:tblGrid>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Опис наявної практики/обґрунтування відхилення</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1. Цілі особи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 Статутi та внутрiшнiх документах Емiтента визначена мета: одержання прибутку вiд усiх видiв торгiвельної, комерцiйної, виробничої, посередницької, фiнансової та iншої дiяльностi, в порядку та за умов, визначених чинним законодавством та Статутом в iнтересах акцiонерiв товариства, трудового колективу та її стейкхолдерiв.</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2. Акціонери та стейкхолдери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Права акцiонерiв визначенi в Статутi та внутрiшнiх Положеннях товариства  у вiдповiдностi до норм чинного законодавства України.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Права мiноритарних акцiонерiв визначенi в Статутi та внутрiшнiх Положеннях Товариства  у вiдповiдностi до норм чинного законодавства України.</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1) загальні збори акціонерів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Акцiонери, якi мають право брати участь у Загальних зборах, мають можливiсть отримувати необхiдну iнформацiю у вiдповiдностi до вимог законодавства, Статуту, Положення про загальнi збори акцiонерiв та Закону України "Про акцiонернi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Бiографiчнi данi про кандидатiв до складу органiв управлiння не розкриваються одночасно iз повiдомленням про проведення загальних зборiв.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Особи,якi мають право брати участь у Загальних зборах, мають можливiсть голосувати у формi, визначенiй для проведення таких Загальних зборiв акцiонерiв. Матерiали такi особи мають можливiсть отримувати дистанцiйно (за допомогою засобiв електронного звязку тощо).</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Керівник, фінансовий директор, більшість членів ради (більшість невиконавчих директорів ради директорів) і зовнішній аудитор </w:t>
            </w:r>
            <w:r w:rsidRPr="009E61E1">
              <w:rPr>
                <w:rFonts w:ascii="Times New Roman CYR" w:eastAsiaTheme="minorEastAsia" w:hAnsi="Times New Roman CYR" w:cs="Times New Roman CYR"/>
                <w:sz w:val="24"/>
                <w:szCs w:val="24"/>
              </w:rPr>
              <w:lastRenderedPageBreak/>
              <w:t>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Керiвник - Генеральний директор, члени Дирекцiї, Голова та Члени Наглядової ради, Корпоративний секретар, iншi акцiонери беруть участь у рiчних </w:t>
            </w:r>
            <w:r w:rsidRPr="009E61E1">
              <w:rPr>
                <w:rFonts w:ascii="Times New Roman CYR" w:eastAsiaTheme="minorEastAsia" w:hAnsi="Times New Roman CYR" w:cs="Times New Roman CYR"/>
                <w:sz w:val="24"/>
                <w:szCs w:val="24"/>
              </w:rPr>
              <w:lastRenderedPageBreak/>
              <w:t xml:space="preserve">Загальних зборах акцiонерiв. Аудитор участi у Загальних зборах не бере. </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За умови, якщо збори проводяться очно, особи, якi мають можливiсть брати участь у загальних зборах, мають можливiсть ставити уснi запитання стосовно питань порядку денного i отримувати вiдповiдi на них. На дистанцiйних зборах такої можливостi немає. Але акцiонери можуть задати питання (подавши письмовий запит на електронну адресу Товариства) що стосуються порядку денного чи проектiв рiшень до порядку денного до дати проведення зборiв в порядку та строки, визначенi вiдповiдно до чинного законодавства України.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Порядок проведення Загальних зборiв встановлений Статутом Товариства та Положенням про Загальнi збори акцiонерiв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Протокол та рiшення Загальних зборiв акцiонерiв розкривається протягом п*яти робочих днiв з дня його складення, у строки визначенi чинним законодавством Украни та розмiщується на веб-сайтi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https://www.steklo-flus.com</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2) взаємодія з акціонерами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Взаємодiя мiж товариством та акцiонерами вiдбувається вiдповiдно до вимог Статуту, внутрiшнiх положень товариства, якi затвердженi на загальних зборах товариства та вiдповiдно до вимог чинного законодавства України.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Товариство не має вiддiлу з питань взаємодiї з акцiонерами, але цi функцiї виконує фахiвець з корпоративного управлiння,а саме - корпоративний секретар товариства,  який вiдповiдає на запити iнвесторiв та сприяє участi акцiонерiв в управлiннi Товариством, а також забезпечує можливiсть для мiноритарних акцiонерiв донести свої </w:t>
            </w:r>
            <w:r w:rsidRPr="009E61E1">
              <w:rPr>
                <w:rFonts w:ascii="Times New Roman CYR" w:eastAsiaTheme="minorEastAsia" w:hAnsi="Times New Roman CYR" w:cs="Times New Roman CYR"/>
                <w:sz w:val="24"/>
                <w:szCs w:val="24"/>
              </w:rPr>
              <w:lastRenderedPageBreak/>
              <w:t>погляди до уваги Наглядової ради.</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lastRenderedPageBreak/>
              <w:t>3) поглинання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Радою визначено принципи, як вона діятиме у разі пропозиції щодо поглинання, зокрема:</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 не вчиняти дії щодо протидії поглинанню без відповідного рішення загальних зборів;</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 надавати акціонерам збалансований аналіз недоліків і переваг будь-якої пропозиції щодо поглинання;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Товариства у звiтному роцi не визначались вiдповiднi принципи як вона дiятиме у разi пропозицiї щодо поглинання.</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 xml:space="preserve">4) інші стейкхолдери </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у звiтному перiодi полiтика взаємодiї зi стейкхолдерами не затверджувалась та параметри взаємовiдносин мiж Товариством та його стейкхолдерами не визначались.</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не визначалось перелiк своїх стейкхолдерiв i тих, з якими необхiдно налагодити безпосередню взаємодiю.</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Звiт щодо аспектiв  взаємодiї зi стейкхолдерами не складався та не розкривався.</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3. Наглядова рада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Члени Наглядової ради не входять до складу наглядових рад iнших юридичних осiб</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Шляхом складення вiдповiдних протоколiв засiдань.</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Статут та внутрiшнi документи Товариста визначають обов'язок членiв наглядової</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ради сумлiнно виконувати свої функцiї i дотримуватися принципу лояльностi стосовно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не має жодних перешкод для доступу до будь-якої iнформацiї, необхiдної їй для ефективного виконання своїх обов'язкiв.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Наглядова рада Товариства в межах компетенцiй, визначених Статутом Товариства та внутрiшними документами, здiйснює управлiння Товариством, а також контролює та </w:t>
            </w:r>
            <w:r w:rsidRPr="009E61E1">
              <w:rPr>
                <w:rFonts w:ascii="Times New Roman CYR" w:eastAsiaTheme="minorEastAsia" w:hAnsi="Times New Roman CYR" w:cs="Times New Roman CYR"/>
                <w:sz w:val="24"/>
                <w:szCs w:val="24"/>
              </w:rPr>
              <w:lastRenderedPageBreak/>
              <w:t>регулює дiяльнiсть Дирекцiї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Товариства є колегiальним органом, що в межах компетенцiї, визначеної Статутом Товариства та Законом України "Про акцiонернi товариства", здiйснює управлiння Товариством, а також контролює та регулює дiяльнiсть виконавчого органа - Дирекцiї Товариства. Наглядова Рада не бере участь у поточному управлiннi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Розмiр i навички членiв Наглядової ради вiдповiдають потребам Товариства, необхiдним вимогам для належного виконання ними своїх обовязкiв.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Квалiфiкацiйнi вимоги до кандидатiв у члени  наглядової ради не визначалися.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Вiдбiр та обрання членiв Наглядової ради здiйснюється в порядку, встановленому Законом України "Про акцiонернi товариства" та "Положенням про Нагладову раду ПрАТ "Запорiжсклофлюс".</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Процедура перевiрки кандидатiв у члени наглядової ради не проводилася.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Процедура вiдбору залучення зовнiшнiх радникiв та/або процес вiдкритого пошуку не проводилася.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не розроблявся план наступництва для членiв наглядової ради та дирекцiї.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у звiтному роцi не затверджувала полiтику щодо рiзноманiття складу Наглядової ради та Дирекцiї.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складається з двох чоловiкiв i однiєї жiнки. При цьому, внутрiшнi документи Товариства не мiстять обмежень щодо перебування рiзних статей у складi Наглядової ради.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Незалежні члени наглядової ради становлять не менше половини від її </w:t>
            </w:r>
            <w:r w:rsidRPr="009E61E1">
              <w:rPr>
                <w:rFonts w:ascii="Times New Roman CYR" w:eastAsiaTheme="minorEastAsia" w:hAnsi="Times New Roman CYR" w:cs="Times New Roman CYR"/>
                <w:sz w:val="24"/>
                <w:szCs w:val="24"/>
              </w:rPr>
              <w:lastRenderedPageBreak/>
              <w:t>загального складу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не має у своєму складi незалежних членiв.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Члени наглядової ради проходять вступний тренінг після їх обрання, який серед іншого покриває:</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 обов'язки, функції і сфери відповідальності членів наглядової ради;</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 незалежність, включаючи незалежність мислення;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порядок роботи наглядової ради;</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 питання відповідальності;</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ґ) питання стратегії особи;</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 політики особи, включаючи питання етики, конфлікту інтересів та запобігання корупції;</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е) питання звітності та систем контролю, включаючи внутрішній та зовнішній аудит;</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Члени Наглядової ради не проходять вступний тренiнг пiсля їх обрання на посаду.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не розробляла план навчання у звязку з вiдсутнiстю потреби у додатковому навчаннi.</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складi Наглядової ради вiдсутнi незалежнi члени. Голова Наглядової ради обраний членами Наглядової ради простою бiльшiстю голосiв з їх числа .</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Голова Наглядової ради має можливiсть комунiкацiй з акцiонерами, у тому числi мажоритарними.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Функцiї Голови Наглядової визначаються в Статутi Товариства та Положеннi про Наглядову раду.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 2023 роцi було створено посаду та призначено корпоративного секретаря..</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1) комітети наглядової ради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Немає комiтетiв, чинне законодавство не вимагавє створення комiтетiв у Наглядовiй радi приватного акцiонерного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Комiтет з питань аудиту не створювався.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Комiтет з питань аудиту не створювався.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Комітет з призначень складається з </w:t>
            </w:r>
            <w:r w:rsidRPr="009E61E1">
              <w:rPr>
                <w:rFonts w:ascii="Times New Roman CYR" w:eastAsiaTheme="minorEastAsia" w:hAnsi="Times New Roman CYR" w:cs="Times New Roman CYR"/>
                <w:sz w:val="24"/>
                <w:szCs w:val="24"/>
              </w:rPr>
              <w:lastRenderedPageBreak/>
              <w:t>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Комiтет з призначень не створювався.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Комiтет з питань винагороди не створювався.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Комiтет з питань ризикiв не створювався.</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4. Виконавчий орган</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Дирекцiя не розробляла стратегiю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не визначала ключовi показники ефективностi Дирекцiї.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Дирекцiя не звiтувала Наглядовiй радi про прогрес у впровадженнi стратегiї Товариства, тому що не було впроваджено такої стратегiї.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Дирекцiя iнформує Голову Наглядової ради про будь-якi значнi подiї Товариства</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6. Винагорода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Винагорода членiв Наглядової ради та Дирекцiї визначається вiдповiдним органом Товариства згiдно чинного законодавства при затвердженнi контрактiв чи внесеннi змiн до контрактiв з членами органiв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Розмiр винагороди Дирекцiї  залежить вiд результатiв дiяльностi Товариства.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Винагорода членiв Наглядової ради виплачується згiдно укладених з ними контрактiв.</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7. Розкриття інформації і прозорість</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затверджувалась полiтика щодо розкриття iнформацiї.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Наглядова рада здiйснює нагляд за Дирекцiєю Товариства у пiдготовцi фiнансових звiтiв i забезпечує складання фiнансових звiтiв Товариства вiдповiдно до чинного законодавства та мiжнародних стандартов фiнансової звiтностiю </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 публiкує iнформацiю щодо коропоративного управлiння на сторiнцi за посиланням:</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https://www.steklo-flus.com/leftmprovisions-ua.html</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t>8. Система контролю і стандарти етики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створювалась система внутрiшнього контролю, яка вiдповiдає моделi концiпцiї "трьох дiнiй захисту"..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здiйснює внутрiшнiй контроль та має змогу залучити зовнiшнього аудитора.</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Функція комплаєнс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запроваджено функцiя комплаєнс та ризик-менеджменту.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затвержено полiтику з питань укправлiння ризиками.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затвержено декларацiю схильностi до ризикiв.</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не запроваджено функцiя ризик-менеджменту.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не затверджено кодекс етики.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не забезпечено можливiсть анонiмно i безпечно повiдомляти про неправомiрну чи неетичну поведiнку.</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запроваджено полiтику щодо запобiгання корупцiї.</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затверджено та оприлюднено політику щодо конфлікту інтересів, яка покриває такі питання: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a) конфлікту інтересів, запобігання і управління конфліктом інтересів;</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б) правочинів із заінтересованістю;</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в) інсайдерської торгівлі; та</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Товариствi не затверджено полiтику щодо конфлiкту iнтересiв. У разi виникнення таких питань, Товариство дiє згiдно Статуту Товариства та чинного законодавства України.</w:t>
            </w:r>
          </w:p>
        </w:tc>
      </w:tr>
      <w:tr w:rsidR="00E11C64" w:rsidRPr="009E61E1">
        <w:trPr>
          <w:trHeight w:val="200"/>
        </w:trPr>
        <w:tc>
          <w:tcPr>
            <w:tcW w:w="10000" w:type="dxa"/>
            <w:gridSpan w:val="3"/>
            <w:tcBorders>
              <w:top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9E61E1">
              <w:rPr>
                <w:rFonts w:ascii="Times New Roman CYR" w:eastAsiaTheme="minorEastAsia" w:hAnsi="Times New Roman CYR" w:cs="Times New Roman CYR"/>
                <w:b/>
                <w:bCs/>
                <w:sz w:val="24"/>
                <w:szCs w:val="24"/>
              </w:rPr>
              <w:lastRenderedPageBreak/>
              <w:t>9. Оцінка корпоративного управління</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у звiтному роцi не була формалiзована процедура щорiчної самооцiнки членiв Наглядової ради.</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 2024 роцi  не проводилась самооцiнка членiв Наглядової ради .</w:t>
            </w:r>
          </w:p>
        </w:tc>
      </w:tr>
      <w:tr w:rsidR="00E11C64" w:rsidRPr="009E61E1">
        <w:trPr>
          <w:trHeight w:val="200"/>
        </w:trPr>
        <w:tc>
          <w:tcPr>
            <w:tcW w:w="4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Товариством не проводилась комплексна оцiнка системи корпоративного управлiння iз залученням незалежного зовнiшнього експерта.</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E11C64" w:rsidRPr="009E61E1">
        <w:trPr>
          <w:trHeight w:val="200"/>
        </w:trPr>
        <w:tc>
          <w:tcPr>
            <w:tcW w:w="3000" w:type="dxa"/>
            <w:vMerge w:val="restart"/>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ab/>
              <w:t>Голова / член комітету ради</w:t>
            </w:r>
          </w:p>
        </w:tc>
      </w:tr>
      <w:tr w:rsidR="00E11C64" w:rsidRPr="009E61E1">
        <w:trPr>
          <w:trHeight w:val="200"/>
        </w:trPr>
        <w:tc>
          <w:tcPr>
            <w:tcW w:w="3000" w:type="dxa"/>
            <w:vMerge/>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- 3</w:t>
            </w: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Оселедчик Сергiй Юрiйович (з 12.06.2023-12.06.2026р.)</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Мiрiленко Людмила Миколаївна ( 12.06.2023 -12.06.2026)</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Лисцев Олександр Сергiйович (12.06.2023 - 12.06.2026)</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9</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9</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У звiтному роцi Наглядовою радою Товариства було проведено 9 засiдань, на яких були прийнятi такi рiшення: </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Внесення змiн та доповнень КВЕДiв ПРАТ "Заапорiжсклофлюс" до Єдиного Державного Реєстру. Прийнято рiшення на здiйснення продажу автомобiля.</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Прийнято рiшення про затвердження органiзацiйної структури управлiння Товариства (27.05.2024р,).</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Прийнято рiшення про встановлення Генеральному директору Нетязi В.I. надбавки за високi досягнення в працi ( за виконання особо важливої роботи). Прийнято рiшення про надання попереднього дозвiлу Дирекцiї Товариства на вчинення правочинiв на отримання безвiдсоткової поворотної допомоги. </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Прийнято рiшення про внесення змiн до Положення про премiювання за основнi результати господарської дiяльностi робiтникiв пiдприємства, затвердженого 01.02.2021р. Про обрання аудитора для проведення аудиту фiнансової звiтностi </w:t>
            </w:r>
            <w:r w:rsidRPr="009E61E1">
              <w:rPr>
                <w:rFonts w:ascii="Times New Roman CYR" w:eastAsiaTheme="minorEastAsia" w:hAnsi="Times New Roman CYR" w:cs="Times New Roman CYR"/>
              </w:rPr>
              <w:lastRenderedPageBreak/>
              <w:t>ПРАТ "Запорiжсклофлюс" за 2024 рiк, затвердження умов договору з ним, встановлення розмiру оплати його послуг та обрання особи, яка уповноважується на пiдписання договору з ним.</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Прийнято рiшення про затвердження внесення змiн до органiзацiйної структури управлiння Товариством (19.11.2024р)</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 Оцiнка складу, структури та дiяльностi ради як колегiального органу (колективної придатностi ради).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є колегiальним органом, який складається з 3-х осiб: голова наглядової ради та  два члена наглядової ради. Всi рiшення наглядовою радою приймаються шляхом скликання всiх наявних членiв ради, обговорення питань винесених для розгляду на засiданнi, голосування по питанням порядку денного засiдання та прийняття рiшення простою бiльшiстю голосiв членiв ради, присутнiх на засiданнях. При цьому мiж членами наглядової ради не здiйснюється розподiлу функцiй i повноважень за якимись професiйними фаховими ознаками чи критерiями, а враховуючи чисельний склад Наглядової ради, не утворювалось жодних комiсiй чи комiтетiв, якi б мали якусь окрему видiлену функцiю чи спецiалiзацiю.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2) Оцiнка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Кожен член Наглядової ради має великий досвiд роботи в ПрАТ "Запорiжсклофлюс" та добре розумiється на специфiцi господарської дiяльностi, якою займається Товариство. Крiм роботи в Наглядовiй радi всi члени Наглядової ради мають iнше мiсце роботиї. Так, Голова Наглядової ради Товариства - Оселедчик Сергiй Юрiйович, працює також в компанiї ТОВ "УКРТРЕЙДIНВЕСТПРОЕКТ" на посадi Генерального директора. Член Наглядової ради - Мiрiленко Людмила Миколаївна, працює (за основним мiсцем роботи) на посадi  начальника вiддiлу пiдготовки кадрiв ПрАТ "Запорiжсклофлюс". Член Наглядової ради -  Лисцев Олександр Сергiйович працює (за основним мiсцем роботи) на посадi заступника Генерального директора з економiчної безпеки ПрАТ "Запорiжсклофлюс". Кожен з членiв Наглядової ради активно та регулярно приймає участь у засiданнях Наглядової ради, а враховуючи що голоси всiх членiв Наглядової ради мають однакову вагу при прийняттi рiшень, то й ефективнiсть роботи кожного члена Наглядової ради є однаковою та достатньою для прийняття зважених та результативних рiшень колегiальним органом. Всi члени Наглядової ради, згiдно до їх повноважень, компетентно та ефективно виконували свої обовязки  на оплачуванiй основi та вiдповiдно до умов Договору з кожним Членом Наглядової ради.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Оцiнка незалежностi кожного з незалежних членiв ради.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Впродовж 2024 року Наглядова рада здiйснювала свої повноваження у складi трьох осiб. Кожен з членiв Наглядової ради є акцiонером Товариства та зацiкавлений в вiдстоюваннi прав акцiонерiв та забезпеченнi ефективної i результативної роботи Товариства. Також жоден з членiв Наглядової ради не працює в компанiях, якi б могли конкурувати з Товариством у вiдповiднiй сферi господарської дiяльностi, тому незалежнiсть членiв Наглядової ради не викликає сумнiвiв.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4) Оцiнка компетентностi та ефективностi кожного з комiтетiв ради, їхнi функцiональнi повноваження. При цьому, комiтет ради з питань аудиту окремо має зазначати iнформацiю про свої висновки щодо незалежностi проведеного зовнiшнього аудиту особи, зокрема незалежностi аудитора (аудиторської фiрми).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Враховуючи, що в Наглядовiй радi будь-якi  комiтети не створювалися, тому неможливо проводити аналiз та дати оцiнку компетентностi та ефективностi комiтетiв ради та їхних функцiональних повноваженнь.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5) Оцiнка виконання радою поставлених цiлей особи. У межах цього пункту зазначається iнформацiя щодо впливу рiшень, прийнятих радою протягом звiтного перiоду, з метою забезпечення досягнення поставлених перед особою стратегiчних цiлей. При цьому iнформацiя щодо стратегiчних цiлей особи має мiстити загальний опис таких стратегiчних цiлей i не потребує розкриття iнформацiї (показникiв), що, згiдно з внутрiшнiми документами особи належить до iнформацiї з обмеженим доступом (конфiденцiйної iнформацiї та комерцiйної таємницi).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протягом усього 2024 року прагнула спрямувати свою дiяльнiсть на здобуття тих </w:t>
      </w:r>
      <w:r>
        <w:rPr>
          <w:rFonts w:ascii="Times New Roman CYR" w:hAnsi="Times New Roman CYR" w:cs="Times New Roman CYR"/>
          <w:sz w:val="24"/>
          <w:szCs w:val="24"/>
        </w:rPr>
        <w:lastRenderedPageBreak/>
        <w:t>результатiв, якi би приближали Товариство до повного та своєчасного виконання основних напрямiв його дiяльностi, визначених Товариством на 2024 рiк. Враховуючи наявну в країнi ситуацiю (вiйськовий стан) Товариство мало одну стратегiчну мету - пiдтримання життєдiяльностi Товариства, ведення господарської дiяльностi на рiвнi, який би забезпечив платоспроможнiсть Товариства. Саме з метою забезпечення фiнансової стабiльностi Товариства Наглядовою радою було прийнято рiшення про внесення змiн до основних видiв господарської дiяльностi Товариства , що в свою чергу дозволило розширити сферу дiяльностi Товариства та забезпечити надходження доходу. Наглядовою радою також було прийнято рiшення оптимiзувати органiзацiйну структуру Товариства, що дозволило скоротити витрати Товариства. Стан колективної придатностi Наглядової ради був достатнiм для ефективного виконання Наглядовою радою своїх функцiй.  Встановленi рiчними Загальними зборами Товариства цiлi  досягаються Наглядовою радою шляхом прийняття вiдповiдних рiшень та контролем за їх виконанням.;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 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Наглядова рада ПрАТ "Запорiжсклофлюс" не має внутрiшньої структури, а єдиною процедурою яка застосовуються для прийняття рiшень, є скликання засiданнь членiв Наглядової ради та прийняття рiшень з питань порядку денного, що оформляється вiдповiдним протоколом. На засiданнi Наглядової ради кожний член Наглядової ради має один голос. Рiшення Наглядової ради приймаються простою бiльшiстю голосiв членiв Наглядової ради вiд їх загальної кiлькiстi. У разi розподiлу голосiв членiв Наглядової ради на її засiдання порiвну - голос Голови наглядової ради є вирiшальним.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Кожен з членiв Наглядової ради Товариства має великий досвiд роботи в компанiї ПрАТ "Запорiжсклофлюс" та добре розумiється на специфiцi господарської дiяльностi, якою займається Товариство. Кожен з членiв Наглядової ради активно та регулярно приймає участь у засiданнях Наглядової ради, а враховуючи те, що голоси всiх членiв Наглядової ради мають однакову вагу при прийняттi рiшень, то й ефективнiсть роботи кожного члена Наглядової ради є однаковою та достатньою для прийняття зважених та результативних рiшень колегiальним органом. Кожен з членiв Наглядової ради є акцiонером Товариства та зацiкавлений в вiдстоюваннi прав акцiонерiв та забезпеченнi ефективної i результативної роботи Товариства. Також жоден з членiв Наглядової ради не працює в компанiях, якi б могли конкурувати з Товариством i вiдповiднiй сферi господарської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5. Виконавчий орган</w:t>
      </w: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колегіального виконавчого органу та його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E11C64" w:rsidRPr="009E61E1">
        <w:trPr>
          <w:trHeight w:val="200"/>
        </w:trPr>
        <w:tc>
          <w:tcPr>
            <w:tcW w:w="3000" w:type="dxa"/>
            <w:vMerge w:val="restart"/>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Ім'я члена виконавчого органу,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Голова/ заступник голови виконавчого органу</w:t>
            </w:r>
          </w:p>
        </w:tc>
        <w:tc>
          <w:tcPr>
            <w:tcW w:w="3550" w:type="dxa"/>
            <w:gridSpan w:val="3"/>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ab/>
              <w:t>Голова / член комітету виконавчого органу</w:t>
            </w:r>
          </w:p>
        </w:tc>
      </w:tr>
      <w:tr w:rsidR="00E11C64" w:rsidRPr="009E61E1">
        <w:trPr>
          <w:trHeight w:val="200"/>
        </w:trPr>
        <w:tc>
          <w:tcPr>
            <w:tcW w:w="3000" w:type="dxa"/>
            <w:vMerge/>
            <w:tcBorders>
              <w:top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комітету - 3</w:t>
            </w: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Нетяга Володимир Iванович (03.09.2021 на термiн до припинення повноважень)</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Щебетун Марiя Олександрiвна (24.04.2019 до припинення повноважень)</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3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Гулiдов Дмитро Iванович (24.04.2019 на термiн до припинення повноважень)</w:t>
            </w: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Кількість засідань ради у </w:t>
            </w:r>
            <w:r w:rsidRPr="009E61E1">
              <w:rPr>
                <w:rFonts w:ascii="Times New Roman CYR" w:eastAsiaTheme="minorEastAsia" w:hAnsi="Times New Roman CYR" w:cs="Times New Roman CYR"/>
                <w:sz w:val="24"/>
                <w:szCs w:val="24"/>
              </w:rPr>
              <w:lastRenderedPageBreak/>
              <w:t>звітному періоді:</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14</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lastRenderedPageBreak/>
              <w:t>з них очних:</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14</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w:t>
            </w:r>
          </w:p>
        </w:tc>
      </w:tr>
      <w:tr w:rsidR="00E11C64" w:rsidRPr="009E61E1">
        <w:trPr>
          <w:trHeight w:val="200"/>
        </w:trPr>
        <w:tc>
          <w:tcPr>
            <w:tcW w:w="20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Протягом 2024 року Дирекцiєю було проведено 14 засiдань, на яких були прийнятi рiшення з питань дiяльностi Товариства в умовах воєнного стану, пiдтримки персоналу, а саме: про сплату рiчного членського внеску Запорiзькiй торгово-промисловiй палатi; надання матерiальної допомоги працiвникам Товариства; компенсування головi наглядової ради витрат за стоматологiчнi послуги, на лiкування; внесення змiн до органiзацiйної структури Товариства; компенсування витрат на лiкування генеральному директору Товариства; внесення змiн до "Положення про премiювання за основнi результати господарської дiяльностi робiтникiв пiдприємства", затвердженого 01.02.2021р.; внесення змiн до органiзацiйної структури управлiння ПрАТ "Запорiжсклофлюс"; надання матерiальної допомоги працiвникам Товариства та членам родини померлих працiвникiв Товариства.</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 Оцiнка складу, структури та дiяльностi виконавчого органу: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Виконавчим органом Товариства є Дирекцiя, яка складається з 3-х членiв, а саме: Генерального директора та двух членiв Дирекцiї.При цьому мiж членами Дирекцiї не здiйснюється розподiлу функцiй i повноважень за якимись професiйними фаховими ознаками чи критерiями, а враховуючи чисельний склад Дирекцiї, в Товариствi не утворювалось жодних комiсiй чи комiтетiв, якi б мали якусь окрему видiлену функцiю чи спецiалiзацiю. Всi рiшення Дирекцiї приймаються на засiданнях шляхом скликання всiх наявних її членiв, обговорення питань, винесених для розгляду на засiданнi та проведення голосування. Виковавчий орган у 2024 роцi працював задовiльно;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2) Оцiнка компетентностi та ефективностi керiвника та заступникiв керiвника/голови та членiв колегiального виконавчого органу, включаючи iнформацiю про його дiяльнiсть як посадової особи iнших юридичних осiб або iншу дiяльнiсть - оплачувану i безоплатну: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Кожен з членiв Дирекцiї Товариства має великий досвiд роботи в компанiї ПрАТ "Запорiжсклофлюс" та добре розумiється на специфiцi господарської дiяльностi, якою займається Товариство, активно та регулярно приймає участь у засiданнях Дирекцiї, а враховуючи що голоси всiх членiв Дирекцiї мають однакову вагу при прийняттi рiшень, то й ефективнiсть роботи кожного члена Дирекцiї є однаковою та достатньою для прийняття зважених та результативних рiшень колегiальним органом. Дирекцiя Товариства належним чином виконує свої функцiї, якi передбаченi Статутом та Положенням про Дирекцiю Товариства. Крiм роботи в Дирекцiї двоє з трьох членiв Дирекцiї (окрiм Генерального директора) мають iнше основне мiсце роботи, а Генеральний директор - Нетяга Володимир Iванович обiймає лише одну посаду та має лише одне мiсце роботи. Член Дирекцiї - Щебетун Марiя Олександрiвна, працює (за основним мiсцем роботи) на посадi заступника  генерального директора з економiки ПрАТ "Запорiжсклофлюс". Член Дирекцiї - Гулiдов Дмитро Iванович працює (за основним мiсцем роботи) на посадi начальником служби ЦО та НС ПрАТ "Запорiжсклофлюс".</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Кожен з членiв Дирекцiї активно та регулярно приймає участь у засiданнях Дирекцiї, а враховуючи що голоси всiх членiв Дирекцiї мають однакову вагу при прийняттi рiшень, то й ефективнiсть роботи кожного члена Дирекцiї є однаковою та достатньою для прийняття зважених та результативних рiшень колегiальним органом. Генеральний директор та члени Дирекцiї компетентно та ефективно виконують свої обов'язки та повноваження щодо фiнансово-господарської дiяльностi Товариства, за свою роботу отримують заробiтну плату; вiдсутня нформацiя про дiяльнiсть як посадової особи iнших юридичних осiб або iншу дiяльнiсть.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Оцiнка виконання виконавчим органом поставлених цiлей особи. В межах цього пункту зазначається iнформацiя щодо впливу рiшень, прийнятих виконавчих органом протягом звiтного перiоду, на досягнення поставлених перед особою стратегiчних цiлей. При цьому iнформацiя щодо стратегiчних цiлей особи має мiстити загальний опис таких стратегiчних цiлей i не потребує розкриття iнформацiї (показникiв), що, згiдно внутрiшнiх документiв особи належить до iнформацiї з обмеженим доступом (конфiденцiйної iнформацiї та комерцiйної таємницi)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Враховуючи наявну в країнi ситуацiю (вiйськовий стан) Товариство не має можливостi планувати </w:t>
      </w:r>
      <w:r>
        <w:rPr>
          <w:rFonts w:ascii="Times New Roman CYR" w:hAnsi="Times New Roman CYR" w:cs="Times New Roman CYR"/>
          <w:sz w:val="24"/>
          <w:szCs w:val="24"/>
        </w:rPr>
        <w:lastRenderedPageBreak/>
        <w:t xml:space="preserve">власну господарську дiяльнiсть та вибудовувати стратегiчнi плани, тому на 2024 рiк ПрАТ "Запорiжсклофлюс" не формувало жодних програм розвитку та не формалiзувало стратегiчнi цiлi для Товариства. Єдиною стратегiчною метою Товариство визначило - пiдтримання життєдiяльностi пiдприємства, ведення господарської дiяльностi на рiвнi, який би забезпечив платоспроможнiсть Товариства.Дирекцiя Товариства протягом усього 2024 року прагнуло спрямувати свою дiяльнiсть на здобуття тих результатiв, якi б приближали Товариство до повного та своєчасного виконання основних напрямiв його дiяльностi. Стан ефективностi роботи Дирекцiї у 2024 роцi був задовiльним. Встановленi цiлi на 2024 рiк досягалися Дирекцiєю Товариства шляхом прийняття вiдповiдних рiшень та контролем за їх виконанням. У подальшому, Дирекцiя Товариства в межах своєї компетенцiї, визначеної Статутом Товариства, й надалi здiйснюватиме заходи, направленi на забезпечення досягнення чiтких цiлей дiяльностi Товариства.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4) Iнформацiя про те, яким чином дiяльнiсть виконавчого органу зумовила змiни у фiнансово- господарськiй дiяльностi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2024 роцi, незважаючи на кризовi явища в нацiональнiй економiцi, пов'язанi в першу чергу з повномасштабною вiйськовою агресiєю рф проти України, ПрАТ "Запорiжсклофлюс" змогло зберегти виробничий та трудовий потенцiал, здатнiсть далi розвиватися вiдповiдно до запитiв конкуруючого ринку. Незважаючи на те, що бiльша частина виробничих потужностей Товариства у 2024 роцi простоювала, Дирекцiя Товариства забезпечувала виконання Товариством соцiально- економiчних та господарських зобов'язань, своєчасну виплату заробiтної плати та сплату податкiв, утримання в належному станi основних засобiв та об'єктiв соцiальної iнфраструктури.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6. Інформація про корпоративного секретаря, а також звіт щодо результатів його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Ім'я</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Врублевська Тетяна Вiкторiвна</w:t>
            </w: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Статут ПрАТ "Запорiжсклофлюс", Положення "Про корпоративного секретаря"</w:t>
            </w: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Наглядова Рада  ПрАТ "Запорiжсклофлюс"</w:t>
            </w: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01.08.2023 3</w:t>
            </w: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08.04.2025 14</w:t>
            </w:r>
          </w:p>
        </w:tc>
      </w:tr>
      <w:tr w:rsidR="00E11C64" w:rsidRPr="009E61E1">
        <w:trPr>
          <w:trHeight w:val="200"/>
        </w:trPr>
        <w:tc>
          <w:tcPr>
            <w:tcW w:w="35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положення звіту щодо 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Звiт корпоративного секретаря викладено в письмовiй формi та мiстить наступну iнформацiю: 1) про стан виконання рiшень,доручень Загальних зборiв акцiонерiв та Наглядової ради за вiдповiдний перiод; 2) про дотримання органами управлiння внутрiшнiх корпоративних процедур, передбачених чинним</w:t>
            </w:r>
          </w:p>
          <w:p w:rsidR="00E11C64" w:rsidRPr="009E61E1" w:rsidRDefault="009E61E1">
            <w:pPr>
              <w:widowControl w:val="0"/>
              <w:autoSpaceDE w:val="0"/>
              <w:autoSpaceDN w:val="0"/>
              <w:adjustRightInd w:val="0"/>
              <w:spacing w:after="0" w:line="240" w:lineRule="auto"/>
              <w:jc w:val="both"/>
              <w:rPr>
                <w:rFonts w:ascii="Times New Roman CYR" w:eastAsiaTheme="minorEastAsia" w:hAnsi="Times New Roman CYR" w:cs="Times New Roman CYR"/>
              </w:rPr>
            </w:pPr>
            <w:r w:rsidRPr="009E61E1">
              <w:rPr>
                <w:rFonts w:ascii="Times New Roman CYR" w:eastAsiaTheme="minorEastAsia" w:hAnsi="Times New Roman CYR" w:cs="Times New Roman CYR"/>
              </w:rPr>
              <w:t>законодавством України, Статутом, його внутрiшнiми Положеннями, iншими розпорядчими документами; 3) про забезпечення пiдготовки та розкриття у встановленому порядку особливої та регулярної iнформацiї; 4) пропозицiї щодо внесення змiн до Статуту та внутрiшнiх Положень Товариства.</w:t>
            </w:r>
          </w:p>
          <w:p w:rsidR="00E11C64" w:rsidRPr="009E61E1" w:rsidRDefault="00E11C64">
            <w:pPr>
              <w:widowControl w:val="0"/>
              <w:autoSpaceDE w:val="0"/>
              <w:autoSpaceDN w:val="0"/>
              <w:adjustRightInd w:val="0"/>
              <w:spacing w:after="0" w:line="240" w:lineRule="auto"/>
              <w:jc w:val="both"/>
              <w:rPr>
                <w:rFonts w:ascii="Times New Roman CYR" w:eastAsiaTheme="minorEastAsia" w:hAnsi="Times New Roman CYR" w:cs="Times New Roman CYR"/>
              </w:rPr>
            </w:pP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3500"/>
      </w:tblGrid>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35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Опис наявного обмеження</w:t>
            </w:r>
          </w:p>
        </w:tc>
      </w:tr>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Осiпов Олег Миколайович</w:t>
            </w: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5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Вiдповiдно до даних останнього перелiку акцiонерiв, якi мають право на участь у Загальних зборах Товариства,  кiлькiсть цiнних паперiв, обтяжених зобов'язаннями: безумовне блокування внаслiдок рiшення суду - 643 акцiй. У Товариства немає iнформацiї щодо найменування органу, що наклав обмеження та строку обмеження. </w:t>
            </w:r>
          </w:p>
        </w:tc>
      </w:tr>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Згiдно останньому перелiку власникiв цiнних паперiв -  541акцiонерiв</w:t>
            </w: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5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Обмеження встановлюються та скасовуються депозитарною установою на пiдставi пункту 10 роздiлу VI Прикiнцевих та перехiдних положень Закону України "Про депозитарну систему України", а саме: " У разi якщо власник цiнних паперiв протягом одного року з дня набрання чинностi цим Законом не уклав з обраною емiтентом депозитарною установою договору про обслуговування рахунка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цiннi папери такого власника (якi дають право на участь в органах емiтента) не враховуються при визначеннi кворуму та при голосуваннi в органах емiтента".</w:t>
            </w: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Власники не уклали з будь-якою депозитарною установою договору про обслуговування рахунка в цiнних паперах вiд власного iменi та не здiйснили переказ належних їм прав на цiннi папери на свiй рахунок у цiнних паперах, вiдкритий в iншiй депозитарнiй установi.</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2240" w:h="15840"/>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500"/>
        <w:gridCol w:w="1500"/>
        <w:gridCol w:w="3140"/>
        <w:gridCol w:w="3160"/>
        <w:gridCol w:w="3100"/>
      </w:tblGrid>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Порядок призначення та звільнення посадової особи</w:t>
            </w:r>
          </w:p>
        </w:tc>
      </w:tr>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Хижняк Свiтлана Вiкторiвна</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Виконуючий  обов'язки головного бухгалтера, призначена на посаду рiшенням Генерального директора ( Наказ № 04-к вiд 10.01.2024 року)</w:t>
            </w:r>
          </w:p>
        </w:tc>
        <w:tc>
          <w:tcPr>
            <w:tcW w:w="31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Головний бухгалтер (виконуючий обов'язки головного бухгалтера) уповноважений забезпечувати ведення бухгалтерського 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дiяльностi Товариства i технологiї оброблення облiкових даних; органiзувати роботу бух-галтерської служби, контроль за вiдображенням на рахунках бухгалтерського облiку всiх господарських операцiй; має вимагати вiд пiдроздiлiв, служб та працiвникiв забезпечення неухильного дотримання порядку оформлення та подання до облiку первинних документiв, вживати всiх необхiдних заходiв для запобiгання несанкцiонованому та непомiтному виправленню записiв у первинних документах i регiстрах бухгалтерського облiку та збереження оброблених доку-ментiв, регiстрiв i звiтностi протягом встановленого термiну, має забезпечувати складання на основi даних </w:t>
            </w:r>
            <w:r w:rsidRPr="009E61E1">
              <w:rPr>
                <w:rFonts w:ascii="Times New Roman CYR" w:eastAsiaTheme="minorEastAsia" w:hAnsi="Times New Roman CYR" w:cs="Times New Roman CYR"/>
              </w:rPr>
              <w:lastRenderedPageBreak/>
              <w:t>бухгалтерського облiку фiнансової звiтностi Товариства, пiдписання її та подання в установленi строки користувачам, здiйснювати заходи щодо надання повної, правдивої та неупередженої iнформацiї про фiнансовий стан, результати дiяльностi та рух коштiв Товари-ства, брати участь у пiдготовцi та поданнi iнших видiв перiодичної звiтностi, якi передбачають пiдпис головного бухгалтера, до органiв вищого рiвня у вiдповiдностi з нормативними актами, затвердженими формами та iнструкцiями, має забезпечувати перерахування податкiв та зборiв, передбачених законодавством, проводить розрахунки з iншими кредиторами вiдповiдно до договiрних зобов'язань, здiйснює контроль за веденням касових операцiй, рацiональним та ефективним використанням матерiальних, трудових та фiнансових ресурсiв, має брати участь у проведеннi iнвентаризацiйної роботи на пiдприємствi, оформленнi матерiалiв, пов'язаних з нестачею та вiдшкодуванням втрат вiд нестачi, крадiжки i псування активiв пiдприємства.</w:t>
            </w:r>
          </w:p>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Головний бухгалтер (виконуючий обов'язки головного бухгалтера) призначається на посаду та звiльняється з посади наказом Генерального директора Товариства вiдповiдно до вимог чинного законодавства</w:t>
            </w:r>
          </w:p>
        </w:tc>
      </w:tr>
      <w:tr w:rsidR="00E11C64" w:rsidRPr="009E61E1">
        <w:trPr>
          <w:trHeight w:val="200"/>
        </w:trPr>
        <w:tc>
          <w:tcPr>
            <w:tcW w:w="3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Врублевська Тетяна Вiкторiвна</w:t>
            </w: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Корпоративний секретар призначена за рiшенням Наглядової ради (Протокол №3 вiд 01.08.2023 року)</w:t>
            </w:r>
          </w:p>
        </w:tc>
        <w:tc>
          <w:tcPr>
            <w:tcW w:w="31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Корпоративний секретар є посадовою особою, яка вiдповiдає за ефективну поточну взаємодiю Товариства </w:t>
            </w:r>
            <w:r w:rsidRPr="009E61E1">
              <w:rPr>
                <w:rFonts w:ascii="Times New Roman CYR" w:eastAsiaTheme="minorEastAsia" w:hAnsi="Times New Roman CYR" w:cs="Times New Roman CYR"/>
              </w:rPr>
              <w:lastRenderedPageBreak/>
              <w:t xml:space="preserve">з акцiонерами, iншими iнвесторами, координацiю дiй Товариства щодо захисту прав та iнтересiв акцiонерiв, пiдтримання ефективної роботи Наглядової ради, а також виконує iншi функцiї, визначенi Законом України "Про акцiонернi товариства" , Статутом Товариства та Положенням про корпоративного секратаря. До  повноважень  Корпоративного  секретаря  належить надання iнформацiї, Статуту, внутрiшнiх положень акцiонерам та/або iнвесторам, iншим заiнтересованим особам про дiяльнiсть Товариства;  виконання функцiй голови лiчильної комiсiї, забезпечення пiдготовки, скликання та проведення Загальних зборiв акцiонерiв; виконання функцiй секретаря Загальних зборiв акцiонерiв та складення протоколу Загальних зборiв;  пiдготовка та проведення засiдань Наглядової ради, виконання функцiй секретаря Наглядової ради та складення протоколiв засiдань; надання вiдповiдей на запити акцiонерiв або iнвесторiв; пiдготовка витягiв з протоколiв засiдань органiв управлiння Товариства та їх засвiдчення; участь у пiдготовцi чи пiдготовка проектiв Статуту, внутрiшнiх положень Товариства, що регулюють роботу його </w:t>
            </w:r>
            <w:r w:rsidRPr="009E61E1">
              <w:rPr>
                <w:rFonts w:ascii="Times New Roman CYR" w:eastAsiaTheme="minorEastAsia" w:hAnsi="Times New Roman CYR" w:cs="Times New Roman CYR"/>
              </w:rPr>
              <w:lastRenderedPageBreak/>
              <w:t>органiв; забезпечення обмiну iнформацiєю та документами мiж Наглядовою радою та  Виконавчим органом Товариства; забезпечення взаємодiї органiв Товариства та вiдповiдних структурних пiдроздiлiв пiд час проведення перевiрок Нацiональною комiсiєю з цiнних паперiв та фондового ринку.</w:t>
            </w:r>
          </w:p>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Корпоративний секретар призначається на посаду та звiльняється з посади рiшенням Наглядової ради </w:t>
            </w:r>
            <w:r w:rsidRPr="009E61E1">
              <w:rPr>
                <w:rFonts w:ascii="Times New Roman CYR" w:eastAsiaTheme="minorEastAsia" w:hAnsi="Times New Roman CYR" w:cs="Times New Roman CYR"/>
              </w:rPr>
              <w:lastRenderedPageBreak/>
              <w:t xml:space="preserve">вiдповiдно до вимог чинного законодавства. </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6837" w:h="11905" w:orient="landscape"/>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
        <w:gridCol w:w="4700"/>
        <w:gridCol w:w="5000"/>
      </w:tblGrid>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Оцінка діяльності щодо захисту довкілля та соціальної відповідальності за звітний період:</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З огляду на характер господарської дiяльностi ПрАТ "Запорiжсклофлюс" безпосереднiй вплив на навколишнє середовище є обмеженим. Екологiчнi питання якi можуть позначитися на використаннi активiв пiдприємства є виконання екологiчного законодавства на пiдприємствi. У 2024 роцi Товариство не здiйснювало заходiв чи проектiв, якi могли б мати iстотний вплив на довкiлля. Товариство здiйснює дiяльнiсть щодо захисту довкiлля та соцiальної вiдповiдальностi згiдно вимог чинного законодавства України. Вiдходи, якi утворюються в результатi господарської дiяльностi Товариства, передаються на утилiзацiю спецiалiзованим органiзацiям, якi мають вiдповiднi дозвiльнi документи. Товариство контролює споживання таких ресурсiв та намагається рацiонально використовувати воду, електроенергiю, газ, папiр та вживає заходiв для зменшення їх споживання.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Цiлi, якi ставило перед собою Товариство на початок звiтного перiода виконано, а саме витрати на охорону навколишнього середовища, в тому числi на охорону атмосферного повiтря, утримання, ремонти пилогазоочисних споруд ; на очищення зворотних вод, утримання, ремонти спорудження та трубопроводiв водозворотних циклiв, на поводження з вiдходами (збирання, зберiгання, транспортування, утилiзацiя). У зв'язку iз значним зниження виробництва продукцiї, зниження викидiв забруднюючих речовин в атмосферне повiтря у 2024 роцi порiвняно з 2023 роком склало 86 %. У 2024 роцi за необхiднiстю експлуатувався один з трьох замкнутих водозворотних циклiв основного виробництва, тому скид виробничих стiчних вод у рiку Днiпро виключено. </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Основнi ризики щодо захисту довкiлля: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забруднення довкiлля;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шкiдливий вплив на довкiлля;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 xml:space="preserve">-  пiдвищене використання природних ресурсiв. </w:t>
            </w:r>
          </w:p>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 пiдприємствi створено i функцiонує достатньо ефективна природоохоронна структура - вiддiл з охорони навколишнього середовища, вiн веде контроль за дотримання вимог природоохоронного законодавства та здiйснює постiйний монiторинг шкiдливих викидiв. З метою мiнiмiзацiї кожного з ризикiв на пiдприємствi постiйно виконуються iнструментальнi вимiри викидiв забруднюючих речовин пилогазоочисних установ якi були в експлуатацiї, вимiри атмосферного повiтря та шумового навантаження на межi санiтарно-захисної зони пiдприємства, виконуються хiмiчнi аналiзи води зворотних циклiв, стiчних вод, якi потрапляють в мережу мiської каналiзацiї.</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3</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Основні положення політики з питань захисту довкілля та соціальної відповідальності:</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У звiтному роцi Товариством не затверджувались полiтики з питань захисту довкiлля та соцiальної вiдповiдальностi.</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4</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Дирекiєю Товариства у звiтному перiодi не розглядались питання щодо захисту довкiлля та соцiальної вiдповiдальностi.</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Наглядовою радою у звiтному перiодi не розглядались питання щодо захисту довкiлля та соцiальної вiдповiдальностi.</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5</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Перелік ключових стейкхолдерів, на яких має вплив діяльність особи із зазначенням обґрунтування в чому саме полягає такий вплив:</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Перелiк ключових стейкхолдерiв не затверджувався у звiтному перiодi.</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6</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Перелiк стейкхолдерiв, якi мають вплив на досягнення особою стратегiчних цiлей у звiтному перiодi не затверджувався.</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7</w:t>
            </w: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Основні положення політики щодо взаємодії зі стейкхолдерами, у тому числі акціонерами/учасниками:</w:t>
            </w:r>
          </w:p>
        </w:tc>
      </w:tr>
      <w:tr w:rsidR="00E11C64" w:rsidRPr="009E61E1">
        <w:trPr>
          <w:trHeight w:val="200"/>
        </w:trPr>
        <w:tc>
          <w:tcPr>
            <w:tcW w:w="300" w:type="dxa"/>
            <w:tcBorders>
              <w:top w:val="single" w:sz="6" w:space="0" w:color="auto"/>
              <w:bottom w:val="single" w:sz="6" w:space="0" w:color="auto"/>
              <w:right w:val="single" w:sz="6" w:space="0" w:color="auto"/>
            </w:tcBorders>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9E61E1">
              <w:rPr>
                <w:rFonts w:ascii="Times New Roman CYR" w:eastAsiaTheme="minorEastAsia" w:hAnsi="Times New Roman CYR" w:cs="Times New Roman CYR"/>
                <w:sz w:val="24"/>
                <w:szCs w:val="24"/>
              </w:rPr>
              <w:t>Полiтики щодо взаємодiї зi стейкхолдерами не затверджувалися у звiтному перiодi..</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Перелік посилань на внутрішні документи особи, що розміщені на вебсайті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200"/>
        <w:gridCol w:w="3200"/>
        <w:gridCol w:w="3100"/>
      </w:tblGrid>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з/п</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URL-адреса вебсайту особи, за якою розміщено внутрішній документ</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Статут</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У Статутi визначено найменування та юридичний статус Товариства, мета та предмет його дiяльностi, права та обовязки акцiонерiв, органи управлiння Товариством,їх компетенцiї та порядок примйняття ними рiшень.</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https://www.steklo-flus.com/images/sharer/2023/statute2023.pdf</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Загальнi збори акцiонерiв</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визначає порядок пiдготовки, скликання, проведення Загальних зборiв акцiонерiв та прийняття ними рiшень.</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https://www.steklo-flus.com/images/sharer/2024/regulations-meeting2024.pdf</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Наглядову раду</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Наглядову раду визначає правовий статус, порядок створення Наглядової ради та припинення її повноважень, компетенцiї, порядок роботи, права, обовязки та вiдповiдальнiсть членiв Наглядової ради.</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https://www.steklo-flus.com/images/sharer/2024/regulations-supervisory-board2024.pdf</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Дирекцiю</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Дирекцiю визначає правовий статус Дирекцiї, порядок її створення та припинення повноважень, компетенцiї, порядок роботи, права, обовязки та вiдповiдальнiсть членiв Дирекцiї.</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https://www.steklo-flus.com/images/sharer/2024/regulations-directorate2024.pdf</w:t>
            </w:r>
          </w:p>
        </w:tc>
      </w:tr>
      <w:tr w:rsidR="00E11C64" w:rsidRPr="009E61E1">
        <w:trPr>
          <w:trHeight w:val="200"/>
        </w:trPr>
        <w:tc>
          <w:tcPr>
            <w:tcW w:w="5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Положення про Корпоративного секретаря</w:t>
            </w:r>
          </w:p>
        </w:tc>
        <w:tc>
          <w:tcPr>
            <w:tcW w:w="32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Положення про Корпоративного секретаря визначає правовий статус, порядок призначення </w:t>
            </w:r>
            <w:r w:rsidRPr="009E61E1">
              <w:rPr>
                <w:rFonts w:ascii="Times New Roman CYR" w:eastAsiaTheme="minorEastAsia" w:hAnsi="Times New Roman CYR" w:cs="Times New Roman CYR"/>
              </w:rPr>
              <w:lastRenderedPageBreak/>
              <w:t>корпоративного секретаря та припинення його повноважень, компетенцi корпоративного секретаряї, його права, обовязки та вiдповiдальнiстьї.</w:t>
            </w:r>
          </w:p>
        </w:tc>
        <w:tc>
          <w:tcPr>
            <w:tcW w:w="3100"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https://www.steklo-flus.com/images/sharer/2024/regulations-secretary2024.pdf</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sectPr w:rsidR="00E11C64">
          <w:pgSz w:w="12240" w:h="15840"/>
          <w:pgMar w:top="570" w:right="720" w:bottom="570" w:left="720" w:header="720" w:footer="720" w:gutter="0"/>
          <w:cols w:space="720"/>
          <w:noEndnote/>
        </w:sectPr>
      </w:pPr>
    </w:p>
    <w:tbl>
      <w:tblPr>
        <w:tblW w:w="0" w:type="auto"/>
        <w:tblInd w:w="108" w:type="dxa"/>
        <w:tblLayout w:type="fixed"/>
        <w:tblLook w:val="0000"/>
      </w:tblPr>
      <w:tblGrid>
        <w:gridCol w:w="2160"/>
        <w:gridCol w:w="4466"/>
        <w:gridCol w:w="1654"/>
        <w:gridCol w:w="1720"/>
      </w:tblGrid>
      <w:tr w:rsidR="00E11C64" w:rsidRPr="009E61E1">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КОДИ</w:t>
            </w:r>
          </w:p>
        </w:tc>
      </w:tr>
      <w:tr w:rsidR="00E11C64" w:rsidRPr="009E61E1">
        <w:trPr>
          <w:gridBefore w:val="2"/>
          <w:wBefore w:w="6626" w:type="dxa"/>
          <w:trHeight w:val="300"/>
        </w:trPr>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01.01.2025</w:t>
            </w:r>
          </w:p>
        </w:tc>
      </w:tr>
      <w:tr w:rsidR="00E11C64" w:rsidRPr="009E61E1">
        <w:trPr>
          <w:trHeight w:val="298"/>
        </w:trPr>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Підприємство</w:t>
            </w:r>
          </w:p>
        </w:tc>
        <w:tc>
          <w:tcPr>
            <w:tcW w:w="4466"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"Запорiжсклофлюс"</w:t>
            </w:r>
          </w:p>
        </w:tc>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00293255</w:t>
            </w:r>
          </w:p>
        </w:tc>
      </w:tr>
      <w:tr w:rsidR="00E11C64" w:rsidRPr="009E61E1">
        <w:trPr>
          <w:trHeight w:val="298"/>
        </w:trPr>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Територія</w:t>
            </w:r>
          </w:p>
        </w:tc>
        <w:tc>
          <w:tcPr>
            <w:tcW w:w="4466"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Запорізька обл.</w:t>
            </w:r>
          </w:p>
        </w:tc>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UA23060070010385728</w:t>
            </w:r>
          </w:p>
        </w:tc>
      </w:tr>
      <w:tr w:rsidR="00E11C64" w:rsidRPr="009E61E1">
        <w:trPr>
          <w:trHeight w:val="298"/>
        </w:trPr>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230</w:t>
            </w:r>
          </w:p>
        </w:tc>
      </w:tr>
      <w:tr w:rsidR="00E11C64" w:rsidRPr="009E61E1">
        <w:trPr>
          <w:trHeight w:val="298"/>
        </w:trPr>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Вид економічної діяльності</w:t>
            </w:r>
          </w:p>
        </w:tc>
        <w:tc>
          <w:tcPr>
            <w:tcW w:w="4466"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Виробництво іншої хімічної продукції, н.в.і.у.</w:t>
            </w:r>
          </w:p>
        </w:tc>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20.59</w:t>
            </w:r>
          </w:p>
        </w:tc>
      </w:tr>
    </w:tbl>
    <w:p w:rsidR="00E11C64" w:rsidRDefault="009E61E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200</w:t>
      </w:r>
    </w:p>
    <w:p w:rsidR="00E11C64" w:rsidRDefault="009E61E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69035 Запорiжжя, Дiагональна, 2, (061)2397061</w:t>
      </w:r>
    </w:p>
    <w:p w:rsidR="00E11C64" w:rsidRDefault="009E61E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E11C64" w:rsidRDefault="009E61E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tblPr>
      <w:tblGrid>
        <w:gridCol w:w="8280"/>
        <w:gridCol w:w="1720"/>
      </w:tblGrid>
      <w:tr w:rsidR="00E11C64" w:rsidRPr="009E61E1">
        <w:trPr>
          <w:trHeight w:val="298"/>
        </w:trPr>
        <w:tc>
          <w:tcPr>
            <w:tcW w:w="8280" w:type="dxa"/>
            <w:vMerge w:val="restart"/>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98"/>
        </w:trPr>
        <w:tc>
          <w:tcPr>
            <w:tcW w:w="8280" w:type="dxa"/>
            <w:vMerge w:val="restart"/>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v</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31.12.2024 p.</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E11C64" w:rsidRPr="009E61E1">
        <w:trPr>
          <w:gridBefore w:val="3"/>
          <w:wBefore w:w="7150" w:type="dxa"/>
          <w:trHeight w:val="280"/>
        </w:trPr>
        <w:tc>
          <w:tcPr>
            <w:tcW w:w="1501" w:type="dxa"/>
            <w:gridSpan w:val="2"/>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1801001</w:t>
            </w:r>
          </w:p>
        </w:tc>
      </w:tr>
      <w:tr w:rsidR="00E11C64" w:rsidRPr="009E61E1">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кінець звітного періоду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2 043</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2 074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2 055</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2 096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( 12 )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( 22 )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6 112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4 417</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72 058</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67 604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144 458</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149 314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( 72 400 )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( 81 710 )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206</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266</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( 60 )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( 64 )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121</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5 067</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6 159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85 607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80 466</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33 595</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24 104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20 649</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14 376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1 980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1 792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10 966</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7 936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2 441</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2 542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144</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4 179</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4 179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4 139</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4 139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192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127</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4 018</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51</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933</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397</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45 502</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31 439</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131 109</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111 905</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E11C64" w:rsidRPr="009E61E1">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 кінець звітного періоду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5"/>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594</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93 898</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75 630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94 601</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76 333</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6 645</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7 763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6 645</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7 763</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2 521</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2 493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12 195</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6 178</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976</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563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298</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1 267</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1 045</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391</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2 047</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2 047</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10 371</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9 644</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5 150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29 863</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27 809</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131 109</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111 905</w:t>
            </w:r>
          </w:p>
        </w:tc>
      </w:tr>
    </w:tbl>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Баланс (Звiт про фiнвнсовий стан) складено за мiжнародними стандартами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Нетяга Володимир Iванович</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Хижняк Свiтлана Вiкторiвна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2240" w:h="15840"/>
          <w:pgMar w:top="570" w:right="720" w:bottom="570" w:left="720" w:header="720" w:footer="720" w:gutter="0"/>
          <w:cols w:space="720"/>
          <w:noEndnote/>
        </w:sectPr>
      </w:pPr>
    </w:p>
    <w:tbl>
      <w:tblPr>
        <w:tblW w:w="0" w:type="auto"/>
        <w:tblInd w:w="108" w:type="dxa"/>
        <w:tblLayout w:type="fixed"/>
        <w:tblLook w:val="0000"/>
      </w:tblPr>
      <w:tblGrid>
        <w:gridCol w:w="2160"/>
        <w:gridCol w:w="4466"/>
        <w:gridCol w:w="1654"/>
        <w:gridCol w:w="1720"/>
      </w:tblGrid>
      <w:tr w:rsidR="00E11C64" w:rsidRPr="009E61E1">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КОДИ</w:t>
            </w:r>
          </w:p>
        </w:tc>
      </w:tr>
      <w:tr w:rsidR="00E11C64" w:rsidRPr="009E61E1">
        <w:trPr>
          <w:gridBefore w:val="2"/>
          <w:wBefore w:w="6626" w:type="dxa"/>
          <w:trHeight w:val="300"/>
        </w:trPr>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01.01.2025</w:t>
            </w:r>
          </w:p>
        </w:tc>
      </w:tr>
      <w:tr w:rsidR="00E11C64" w:rsidRPr="009E61E1">
        <w:trPr>
          <w:trHeight w:val="298"/>
        </w:trPr>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Підприємство</w:t>
            </w:r>
          </w:p>
        </w:tc>
        <w:tc>
          <w:tcPr>
            <w:tcW w:w="4466"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"Запорiжсклофлюс"</w:t>
            </w:r>
          </w:p>
        </w:tc>
        <w:tc>
          <w:tcPr>
            <w:tcW w:w="1654"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00293255</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E11C64" w:rsidRPr="009E61E1">
        <w:trPr>
          <w:gridBefore w:val="3"/>
          <w:wBefore w:w="7150" w:type="dxa"/>
          <w:trHeight w:val="280"/>
        </w:trPr>
        <w:tc>
          <w:tcPr>
            <w:tcW w:w="1501" w:type="dxa"/>
            <w:gridSpan w:val="2"/>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1801003</w:t>
            </w:r>
          </w:p>
        </w:tc>
      </w:tr>
      <w:tr w:rsidR="00E11C64" w:rsidRPr="009E61E1">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109 511</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126 823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( 87 224 )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( 91 667 )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Валовий:</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22 287</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35 156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6 889</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5 411</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( 22 067 )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( 18 755 )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( 3 516 )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( 4 106 )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( 21 207 )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( 46 306 )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Фінансовий результат від операційної діяльності:</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( 17 614 )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( 28 600 )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( 1 768 )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( 1 680 )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( 34 )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Фінансовий результат до оподаткування: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( 19 360 )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( 30 282 )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1 092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1 982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фінансовий результат:</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( 18 268 )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( 28 300 )</w:t>
            </w:r>
          </w:p>
        </w:tc>
      </w:tr>
    </w:tbl>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E11C64" w:rsidRPr="009E61E1">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-18 268</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-28 300</w:t>
            </w:r>
          </w:p>
        </w:tc>
      </w:tr>
    </w:tbl>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E11C64" w:rsidRPr="009E61E1">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74 335</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101 283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30 181</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39 388</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6 151</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7 656</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9 372</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10 013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16 982</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24 241</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137 021</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182 581</w:t>
            </w:r>
          </w:p>
        </w:tc>
      </w:tr>
    </w:tbl>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E11C64" w:rsidRPr="009E61E1">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5 473 508</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-3,340000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-5,170000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-3,340000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-5,170000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0,00</w:t>
            </w:r>
          </w:p>
        </w:tc>
      </w:tr>
    </w:tbl>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Звiт про фiнансовi результати складено за мiжнародними стандартами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Нетяга Володимир Iванович</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Хижняк Свiтлана Вiкторiвна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2240" w:h="15840"/>
          <w:pgMar w:top="570" w:right="720" w:bottom="570" w:left="720" w:header="720" w:footer="720" w:gutter="0"/>
          <w:cols w:space="720"/>
          <w:noEndnote/>
        </w:sectPr>
      </w:pPr>
    </w:p>
    <w:tbl>
      <w:tblPr>
        <w:tblW w:w="0" w:type="auto"/>
        <w:tblInd w:w="108" w:type="dxa"/>
        <w:tblLayout w:type="fixed"/>
        <w:tblLook w:val="0000"/>
      </w:tblPr>
      <w:tblGrid>
        <w:gridCol w:w="2160"/>
        <w:gridCol w:w="4490"/>
        <w:gridCol w:w="1990"/>
        <w:gridCol w:w="1360"/>
      </w:tblGrid>
      <w:tr w:rsidR="00E11C64" w:rsidRPr="009E61E1">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КОДИ</w:t>
            </w:r>
          </w:p>
        </w:tc>
      </w:tr>
      <w:tr w:rsidR="00E11C64" w:rsidRPr="009E61E1">
        <w:trPr>
          <w:gridBefore w:val="2"/>
          <w:wBefore w:w="6650" w:type="dxa"/>
          <w:trHeight w:val="200"/>
        </w:trPr>
        <w:tc>
          <w:tcPr>
            <w:tcW w:w="199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01.01.2025</w:t>
            </w:r>
          </w:p>
        </w:tc>
      </w:tr>
      <w:tr w:rsidR="00E11C64" w:rsidRPr="009E61E1">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Підприємство</w:t>
            </w:r>
          </w:p>
        </w:tc>
        <w:tc>
          <w:tcPr>
            <w:tcW w:w="4490" w:type="dxa"/>
            <w:vMerge w:val="restart"/>
            <w:tcBorders>
              <w:top w:val="nil"/>
              <w:left w:val="nil"/>
              <w:bottom w:val="nil"/>
              <w:right w:val="nil"/>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"Запорiжсклофлюс"</w:t>
            </w:r>
          </w:p>
        </w:tc>
        <w:tc>
          <w:tcPr>
            <w:tcW w:w="199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00293255</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E11C64" w:rsidRPr="009E61E1">
        <w:trPr>
          <w:gridBefore w:val="3"/>
          <w:wBefore w:w="7500" w:type="dxa"/>
          <w:trHeight w:val="280"/>
        </w:trPr>
        <w:tc>
          <w:tcPr>
            <w:tcW w:w="1500" w:type="dxa"/>
            <w:gridSpan w:val="2"/>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1801004</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tcPr>
          <w:p w:rsidR="00E11C64" w:rsidRPr="009E61E1" w:rsidRDefault="00E11C64">
            <w:pPr>
              <w:widowControl w:val="0"/>
              <w:autoSpaceDE w:val="0"/>
              <w:autoSpaceDN w:val="0"/>
              <w:adjustRightInd w:val="0"/>
              <w:spacing w:after="0" w:line="240" w:lineRule="auto"/>
              <w:jc w:val="right"/>
              <w:rPr>
                <w:rFonts w:ascii="Times New Roman CYR" w:eastAsiaTheme="minorEastAsia" w:hAnsi="Times New Roman CYR" w:cs="Times New Roman CYR"/>
              </w:rPr>
            </w:pP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585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 Рух коштів у результаті операційної діяльності</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77 005</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71 809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710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253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54 383</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78 143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186</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142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941</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( 82 981 )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( 31 149 )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( 24 507 )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( 28 285 )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( 6 153 )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( 6 932 )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( 16 294 )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( 11 732 )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( 8 870 )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( 3 831 )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( 7 424 )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( 7 901 )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( 5 627 )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( 5 769 )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-2 455</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67 484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II. Рух коштів у результаті інвестиційної діяльності</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1 239</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( 1 965 )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( 340 )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( 3 152 )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( 73 830 )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-5 114</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-72 928</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III. Рух коштів у результаті фінансової діяльності</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3 600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( 0 )</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3 600</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-3 969</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-5 444</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4 018</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9 462</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58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51</w:t>
            </w:r>
          </w:p>
        </w:tc>
        <w:tc>
          <w:tcPr>
            <w:tcW w:w="1645"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4 018</w:t>
            </w:r>
          </w:p>
        </w:tc>
      </w:tr>
    </w:tbl>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Звiт про рух грошових коштiв (за прямим методом) складено за мiжнародними стандартами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Нетяга Володимир Iванович</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Хижняк Свiтлана Вiкторiвна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2240" w:h="15840"/>
          <w:pgMar w:top="570" w:right="720" w:bottom="570" w:left="720" w:header="720" w:footer="720" w:gutter="0"/>
          <w:cols w:space="720"/>
          <w:noEndnote/>
        </w:sectPr>
      </w:pPr>
    </w:p>
    <w:tbl>
      <w:tblPr>
        <w:tblW w:w="0" w:type="auto"/>
        <w:tblInd w:w="108" w:type="dxa"/>
        <w:tblLayout w:type="fixed"/>
        <w:tblLook w:val="0000"/>
      </w:tblPr>
      <w:tblGrid>
        <w:gridCol w:w="2160"/>
        <w:gridCol w:w="4490"/>
        <w:gridCol w:w="1990"/>
        <w:gridCol w:w="1360"/>
      </w:tblGrid>
      <w:tr w:rsidR="00E11C64" w:rsidRPr="009E61E1">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КОДИ</w:t>
            </w:r>
          </w:p>
        </w:tc>
      </w:tr>
      <w:tr w:rsidR="00E11C64" w:rsidRPr="009E61E1">
        <w:trPr>
          <w:gridBefore w:val="2"/>
          <w:wBefore w:w="6650" w:type="dxa"/>
          <w:trHeight w:val="200"/>
        </w:trPr>
        <w:tc>
          <w:tcPr>
            <w:tcW w:w="199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30.01.2025</w:t>
            </w:r>
          </w:p>
        </w:tc>
      </w:tr>
      <w:tr w:rsidR="00E11C64" w:rsidRPr="009E61E1">
        <w:tc>
          <w:tcPr>
            <w:tcW w:w="216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Підприємство</w:t>
            </w:r>
          </w:p>
        </w:tc>
        <w:tc>
          <w:tcPr>
            <w:tcW w:w="4490" w:type="dxa"/>
            <w:vMerge w:val="restart"/>
            <w:tcBorders>
              <w:top w:val="nil"/>
              <w:left w:val="nil"/>
              <w:bottom w:val="nil"/>
              <w:right w:val="nil"/>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"Запорiжсклофлюс"</w:t>
            </w:r>
          </w:p>
        </w:tc>
        <w:tc>
          <w:tcPr>
            <w:tcW w:w="199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00293255</w:t>
            </w:r>
          </w:p>
        </w:tc>
      </w:tr>
    </w:tbl>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E11C64">
      <w:pPr>
        <w:widowControl w:val="0"/>
        <w:autoSpaceDE w:val="0"/>
        <w:autoSpaceDN w:val="0"/>
        <w:adjustRightInd w:val="0"/>
        <w:spacing w:after="0" w:line="240" w:lineRule="auto"/>
        <w:rPr>
          <w:rFonts w:ascii="Times New Roman CYR" w:hAnsi="Times New Roman CYR" w:cs="Times New Roman CYR"/>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непрямим методом)</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800"/>
        <w:gridCol w:w="1300"/>
        <w:gridCol w:w="1300"/>
        <w:gridCol w:w="100"/>
        <w:gridCol w:w="1200"/>
        <w:gridCol w:w="300"/>
        <w:gridCol w:w="1000"/>
      </w:tblGrid>
      <w:tr w:rsidR="00E11C64" w:rsidRPr="009E61E1">
        <w:trPr>
          <w:gridBefore w:val="5"/>
          <w:wBefore w:w="7500" w:type="dxa"/>
          <w:trHeight w:val="280"/>
        </w:trPr>
        <w:tc>
          <w:tcPr>
            <w:tcW w:w="1500" w:type="dxa"/>
            <w:gridSpan w:val="2"/>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1801006</w:t>
            </w:r>
          </w:p>
        </w:tc>
      </w:tr>
      <w:tr w:rsidR="00E11C64" w:rsidRPr="009E61E1">
        <w:trPr>
          <w:trHeight w:val="200"/>
        </w:trPr>
        <w:tc>
          <w:tcPr>
            <w:tcW w:w="4000" w:type="dxa"/>
            <w:tcBorders>
              <w:top w:val="single" w:sz="6" w:space="0" w:color="auto"/>
              <w:bottom w:val="nil"/>
              <w:right w:val="single" w:sz="6" w:space="0" w:color="auto"/>
            </w:tcBorders>
            <w:shd w:val="clear" w:color="auto" w:fill="E6E6E6"/>
          </w:tcPr>
          <w:p w:rsidR="00E11C64" w:rsidRPr="009E61E1" w:rsidRDefault="00E11C64">
            <w:pPr>
              <w:widowControl w:val="0"/>
              <w:autoSpaceDE w:val="0"/>
              <w:autoSpaceDN w:val="0"/>
              <w:adjustRightInd w:val="0"/>
              <w:spacing w:after="0" w:line="240" w:lineRule="auto"/>
              <w:jc w:val="right"/>
              <w:rPr>
                <w:rFonts w:ascii="Times New Roman CYR" w:eastAsiaTheme="minorEastAsia" w:hAnsi="Times New Roman CYR" w:cs="Times New Roman CYR"/>
              </w:rPr>
            </w:pPr>
          </w:p>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Стаття</w:t>
            </w:r>
          </w:p>
        </w:tc>
        <w:tc>
          <w:tcPr>
            <w:tcW w:w="800" w:type="dxa"/>
            <w:tcBorders>
              <w:top w:val="single" w:sz="6" w:space="0" w:color="auto"/>
              <w:left w:val="single" w:sz="6" w:space="0" w:color="auto"/>
              <w:bottom w:val="nil"/>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2600"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звітний період</w:t>
            </w:r>
          </w:p>
        </w:tc>
        <w:tc>
          <w:tcPr>
            <w:tcW w:w="2600" w:type="dxa"/>
            <w:gridSpan w:val="4"/>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 аналогічний період попереднього року</w:t>
            </w:r>
          </w:p>
        </w:tc>
      </w:tr>
      <w:tr w:rsidR="00E11C64" w:rsidRPr="009E61E1">
        <w:trPr>
          <w:trHeight w:val="200"/>
        </w:trPr>
        <w:tc>
          <w:tcPr>
            <w:tcW w:w="4000" w:type="dxa"/>
            <w:tcBorders>
              <w:top w:val="nil"/>
              <w:bottom w:val="single" w:sz="6" w:space="0" w:color="auto"/>
              <w:right w:val="single" w:sz="6" w:space="0" w:color="auto"/>
            </w:tcBorders>
            <w:shd w:val="clear" w:color="auto" w:fill="E6E6E6"/>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800" w:type="dxa"/>
            <w:tcBorders>
              <w:top w:val="nil"/>
              <w:left w:val="single" w:sz="6" w:space="0" w:color="auto"/>
              <w:bottom w:val="single" w:sz="6" w:space="0" w:color="auto"/>
              <w:right w:val="single" w:sz="6" w:space="0" w:color="auto"/>
            </w:tcBorders>
            <w:shd w:val="clear" w:color="auto" w:fill="E6E6E6"/>
          </w:tcPr>
          <w:p w:rsidR="00E11C64" w:rsidRPr="009E61E1" w:rsidRDefault="00E11C64">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 ження</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видаток</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надход- ження</w:t>
            </w:r>
          </w:p>
        </w:tc>
        <w:tc>
          <w:tcPr>
            <w:tcW w:w="1300"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видаток</w:t>
            </w:r>
          </w:p>
        </w:tc>
      </w:tr>
      <w:tr w:rsidR="00E11C64" w:rsidRPr="009E61E1">
        <w:trPr>
          <w:trHeight w:val="200"/>
        </w:trPr>
        <w:tc>
          <w:tcPr>
            <w:tcW w:w="400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8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1300" w:type="dxa"/>
            <w:gridSpan w:val="2"/>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 Рух коштів у результаті операційної діяльності</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Прибуток (збиток) від звичайної діяльності до оподаткування</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3500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Коригування на: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амортизацію необоротних активів</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3505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збільшення (зменшення) забезпечень</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3510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 (прибуток) від нереалізованих курсових різниць</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3515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збиток (прибуток) від неопераційної діяльності та інших не грошових операцій</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Прибуток (збиток) від участі в капіталі</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3521</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вартості активів, які оцінюються за справедливою вартістю, та дохід (витрати) від первісного визнання</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3522</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Збиток (прибуток) від реалізації необоротних активів, утримуваних для продажу та груп вибуття</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3523</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Збиток (прибуток) від реалізації фінансових інвестицій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3524</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(відновлення) корисності необоротних активів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3526</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Фінансові витрати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3540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(збільшення) оборотних активів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запасів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3551</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поточних біологічних активів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3552</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дебіторської заборгованості за продукцію, товари, роботи, послуги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3553</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(збільшення) іншої поточної дебіторської заборгованості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3554</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(збільшення) витрат майбутніх періодів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3556</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(збільшення) інших оборотних активів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3557</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поточних зобов'язань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поточної </w:t>
            </w:r>
            <w:r w:rsidRPr="009E61E1">
              <w:rPr>
                <w:rFonts w:ascii="Times New Roman CYR" w:eastAsiaTheme="minorEastAsia" w:hAnsi="Times New Roman CYR" w:cs="Times New Roman CYR"/>
              </w:rPr>
              <w:lastRenderedPageBreak/>
              <w:t xml:space="preserve">кредиторської заборгованості за товари, роботи, послуги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3561</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Збільшення (зменшення) поточної кредиторської заборгованості за розрахунками з бюджетом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3562</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поточної кредиторської заборгованості за розрахунками зі страхування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3563</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поточної кредиторської заборгованості за розрахунками з оплати праці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3564</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доходів майбутніх періодів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3566</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Збільшення (зменшення) інших поточних зобов'язань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3567</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Грошові кошти від операційної діяльності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3570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Сплачений податок на прибуток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3580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Сплачені відсотки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3585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Чистий рух коштів від операційної діяльності</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3195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II. Рух коштів у результаті інвестиційної діяльності</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реалізації: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фінансових інвестицій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3200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необоротних активів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3205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отриманих: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відсотків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3215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дивідендів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3220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деривативів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3225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погашення позик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3230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вибуття дочірнього підприємства та іншої господарської одиниці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3235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надходження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3250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придбання: фінансових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інвестицій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3255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необоротних активів</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3260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Виплати за деривативами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3270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надання позик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3275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придбання дочірнього підприємства та іншої господарської одиниці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3280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платежі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3290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Чистий рух коштів від інвестиційної діяльності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3295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III. Рух коштів у результаті фінансової діяльності</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c>
          <w:tcPr>
            <w:tcW w:w="1300" w:type="dxa"/>
            <w:gridSpan w:val="2"/>
            <w:tcBorders>
              <w:top w:val="single" w:sz="6" w:space="0" w:color="auto"/>
              <w:left w:val="single" w:sz="6" w:space="0" w:color="auto"/>
              <w:bottom w:val="single" w:sz="6" w:space="0" w:color="auto"/>
            </w:tcBorders>
            <w:vAlign w:val="center"/>
          </w:tcPr>
          <w:p w:rsidR="00E11C64" w:rsidRPr="009E61E1" w:rsidRDefault="00E11C64">
            <w:pPr>
              <w:widowControl w:val="0"/>
              <w:autoSpaceDE w:val="0"/>
              <w:autoSpaceDN w:val="0"/>
              <w:adjustRightInd w:val="0"/>
              <w:spacing w:after="0" w:line="240" w:lineRule="auto"/>
              <w:rPr>
                <w:rFonts w:ascii="Times New Roman CYR" w:eastAsiaTheme="minorEastAsia" w:hAnsi="Times New Roman CYR" w:cs="Times New Roman CYR"/>
              </w:rPr>
            </w:pP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Власного капіталу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3300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Отримання позик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3305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Надходження від продажу частки в дочірньому підприємстві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3310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надходження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Викуп власних акцій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3345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    Погашення позик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3350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    Сплату дивідендів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3355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сплату відсотків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3360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сплату заборгованості з фінансової оренди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3365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придбання частки в дочірньому підприємстві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3370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Витрачання на виплати неконтрольованим часткам у дочірніх підприємствах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3375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платежі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3390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X</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Чистий рух коштів від фінансової діяльності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3395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Чистий рух грошових коштів за звітний період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3400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Залишок коштів на початок року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3405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Х</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Вплив зміни валютних курсів на залишок коштів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3410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400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Залишок коштів на кінець року </w:t>
            </w:r>
          </w:p>
        </w:tc>
        <w:tc>
          <w:tcPr>
            <w:tcW w:w="8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3415</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bl>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Примітки: Звiт про рух грошових коштiв заповнено за прямим методом. </w:t>
      </w: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Звiт про рух грошових коштiв (за непрямим методом) не заповнюється у звязку з вiдсутнiстю такого звiту.</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Нетяга Володимир Iванович</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Хижняк Свiтлана Вiкторiвна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2240" w:h="15840"/>
          <w:pgMar w:top="570" w:right="720" w:bottom="570" w:left="720" w:header="720" w:footer="720" w:gutter="0"/>
          <w:cols w:space="720"/>
          <w:noEndnote/>
        </w:sectPr>
      </w:pPr>
    </w:p>
    <w:tbl>
      <w:tblPr>
        <w:tblW w:w="0" w:type="auto"/>
        <w:tblInd w:w="3168" w:type="dxa"/>
        <w:tblLayout w:type="fixed"/>
        <w:tblLook w:val="0000"/>
      </w:tblPr>
      <w:tblGrid>
        <w:gridCol w:w="2240"/>
        <w:gridCol w:w="5500"/>
        <w:gridCol w:w="1800"/>
        <w:gridCol w:w="2000"/>
      </w:tblGrid>
      <w:tr w:rsidR="00E11C64" w:rsidRPr="009E61E1">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КОДИ</w:t>
            </w:r>
          </w:p>
        </w:tc>
      </w:tr>
      <w:tr w:rsidR="00E11C64" w:rsidRPr="009E61E1">
        <w:trPr>
          <w:gridBefore w:val="2"/>
          <w:wBefore w:w="7740" w:type="dxa"/>
          <w:trHeight w:val="298"/>
        </w:trPr>
        <w:tc>
          <w:tcPr>
            <w:tcW w:w="180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01.01.2025</w:t>
            </w:r>
          </w:p>
        </w:tc>
      </w:tr>
      <w:tr w:rsidR="00E11C64" w:rsidRPr="009E61E1">
        <w:tc>
          <w:tcPr>
            <w:tcW w:w="2240" w:type="dxa"/>
            <w:tcBorders>
              <w:top w:val="nil"/>
              <w:left w:val="nil"/>
              <w:bottom w:val="nil"/>
              <w:right w:val="nil"/>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Підприємство</w:t>
            </w:r>
          </w:p>
        </w:tc>
        <w:tc>
          <w:tcPr>
            <w:tcW w:w="5500" w:type="dxa"/>
            <w:vMerge w:val="restart"/>
            <w:tcBorders>
              <w:top w:val="nil"/>
              <w:left w:val="nil"/>
              <w:bottom w:val="nil"/>
              <w:right w:val="nil"/>
            </w:tcBorders>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Приватне акцiонерне товариство "Запорiжсклофлюс"</w:t>
            </w:r>
          </w:p>
        </w:tc>
        <w:tc>
          <w:tcPr>
            <w:tcW w:w="1800" w:type="dxa"/>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00293255</w:t>
            </w:r>
          </w:p>
        </w:tc>
      </w:tr>
    </w:tbl>
    <w:p w:rsidR="00E11C64" w:rsidRDefault="00E11C64">
      <w:pPr>
        <w:widowControl w:val="0"/>
        <w:autoSpaceDE w:val="0"/>
        <w:autoSpaceDN w:val="0"/>
        <w:adjustRightInd w:val="0"/>
        <w:spacing w:after="0" w:line="240" w:lineRule="auto"/>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E11C64" w:rsidRDefault="009E61E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1250"/>
        <w:gridCol w:w="1100"/>
        <w:gridCol w:w="1350"/>
        <w:gridCol w:w="1300"/>
        <w:gridCol w:w="1200"/>
        <w:gridCol w:w="1300"/>
        <w:gridCol w:w="950"/>
        <w:gridCol w:w="550"/>
        <w:gridCol w:w="1250"/>
        <w:gridCol w:w="50"/>
        <w:gridCol w:w="1250"/>
      </w:tblGrid>
      <w:tr w:rsidR="00E11C64" w:rsidRPr="009E61E1">
        <w:trPr>
          <w:gridBefore w:val="8"/>
          <w:wBefore w:w="11500" w:type="dxa"/>
          <w:trHeight w:val="280"/>
        </w:trPr>
        <w:tc>
          <w:tcPr>
            <w:tcW w:w="1800" w:type="dxa"/>
            <w:gridSpan w:val="2"/>
            <w:tcBorders>
              <w:top w:val="nil"/>
              <w:left w:val="nil"/>
              <w:bottom w:val="nil"/>
              <w:right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E11C64" w:rsidRPr="009E61E1" w:rsidRDefault="009E61E1">
            <w:pPr>
              <w:widowControl w:val="0"/>
              <w:autoSpaceDE w:val="0"/>
              <w:autoSpaceDN w:val="0"/>
              <w:adjustRightInd w:val="0"/>
              <w:spacing w:after="0" w:line="240" w:lineRule="auto"/>
              <w:jc w:val="right"/>
              <w:rPr>
                <w:rFonts w:ascii="Times New Roman CYR" w:eastAsiaTheme="minorEastAsia" w:hAnsi="Times New Roman CYR" w:cs="Times New Roman CYR"/>
              </w:rPr>
            </w:pPr>
            <w:r w:rsidRPr="009E61E1">
              <w:rPr>
                <w:rFonts w:ascii="Times New Roman CYR" w:eastAsiaTheme="minorEastAsia" w:hAnsi="Times New Roman CYR" w:cs="Times New Roman CYR"/>
              </w:rPr>
              <w:t>1801005</w:t>
            </w:r>
          </w:p>
        </w:tc>
      </w:tr>
      <w:tr w:rsidR="00E11C64" w:rsidRPr="009E61E1">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Всього</w:t>
            </w:r>
          </w:p>
        </w:tc>
      </w:tr>
      <w:tr w:rsidR="00E11C64" w:rsidRPr="009E61E1">
        <w:trPr>
          <w:trHeight w:val="200"/>
        </w:trPr>
        <w:tc>
          <w:tcPr>
            <w:tcW w:w="3050" w:type="dxa"/>
            <w:tcBorders>
              <w:top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b/>
                <w:bCs/>
              </w:rPr>
            </w:pPr>
            <w:r w:rsidRPr="009E61E1">
              <w:rPr>
                <w:rFonts w:ascii="Times New Roman CYR" w:eastAsiaTheme="minorEastAsia"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594</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93 911</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94 614</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Коригування:</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-13</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594</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93 898</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94 601</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-18 268</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-18 268</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Розподіл прибутку: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lastRenderedPageBreak/>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Внески учасників: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Вилучення капіталу: </w:t>
            </w:r>
          </w:p>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-18 268</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-18 268</w:t>
            </w:r>
          </w:p>
        </w:tc>
      </w:tr>
      <w:tr w:rsidR="00E11C64" w:rsidRPr="009E61E1">
        <w:trPr>
          <w:trHeight w:val="200"/>
        </w:trPr>
        <w:tc>
          <w:tcPr>
            <w:tcW w:w="3050" w:type="dxa"/>
            <w:tcBorders>
              <w:top w:val="single" w:sz="6" w:space="0" w:color="auto"/>
              <w:bottom w:val="single" w:sz="6" w:space="0" w:color="auto"/>
              <w:right w:val="single" w:sz="6" w:space="0" w:color="auto"/>
            </w:tcBorders>
            <w:vAlign w:val="center"/>
          </w:tcPr>
          <w:p w:rsidR="00E11C64" w:rsidRPr="009E61E1" w:rsidRDefault="009E61E1">
            <w:pPr>
              <w:widowControl w:val="0"/>
              <w:autoSpaceDE w:val="0"/>
              <w:autoSpaceDN w:val="0"/>
              <w:adjustRightInd w:val="0"/>
              <w:spacing w:after="0" w:line="240" w:lineRule="auto"/>
              <w:rPr>
                <w:rFonts w:ascii="Times New Roman CYR" w:eastAsiaTheme="minorEastAsia" w:hAnsi="Times New Roman CYR" w:cs="Times New Roman CYR"/>
              </w:rPr>
            </w:pPr>
            <w:r w:rsidRPr="009E61E1">
              <w:rPr>
                <w:rFonts w:ascii="Times New Roman CYR" w:eastAsiaTheme="minorEastAsia"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109</w:t>
            </w:r>
          </w:p>
        </w:tc>
        <w:tc>
          <w:tcPr>
            <w:tcW w:w="135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594</w:t>
            </w:r>
          </w:p>
        </w:tc>
        <w:tc>
          <w:tcPr>
            <w:tcW w:w="1300" w:type="dxa"/>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75 630</w:t>
            </w:r>
          </w:p>
        </w:tc>
        <w:tc>
          <w:tcPr>
            <w:tcW w:w="15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0</w:t>
            </w:r>
          </w:p>
        </w:tc>
        <w:tc>
          <w:tcPr>
            <w:tcW w:w="1250" w:type="dxa"/>
            <w:tcBorders>
              <w:top w:val="single" w:sz="6" w:space="0" w:color="auto"/>
              <w:left w:val="single" w:sz="6" w:space="0" w:color="auto"/>
              <w:bottom w:val="single" w:sz="6" w:space="0" w:color="auto"/>
            </w:tcBorders>
          </w:tcPr>
          <w:p w:rsidR="00E11C64" w:rsidRPr="009E61E1" w:rsidRDefault="009E61E1">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9E61E1">
              <w:rPr>
                <w:rFonts w:ascii="Times New Roman CYR" w:eastAsiaTheme="minorEastAsia" w:hAnsi="Times New Roman CYR" w:cs="Times New Roman CYR"/>
              </w:rPr>
              <w:t>76 333</w:t>
            </w:r>
          </w:p>
        </w:tc>
      </w:tr>
    </w:tbl>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Звiт про власний капiтал складено за мiжнародними стандартами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Нетяга Володимир Iванович</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Хижняк Свiтлана Вiкторiвна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6838" w:h="11906" w:orient="landscape"/>
          <w:pgMar w:top="570" w:right="720" w:bottom="570" w:left="720" w:header="720" w:footer="720" w:gutter="0"/>
          <w:cols w:space="720"/>
          <w:noEndnote/>
        </w:sectPr>
      </w:pPr>
    </w:p>
    <w:p w:rsidR="00E11C64" w:rsidRDefault="00E11C64">
      <w:pPr>
        <w:widowControl w:val="0"/>
        <w:autoSpaceDE w:val="0"/>
        <w:autoSpaceDN w:val="0"/>
        <w:adjustRightInd w:val="0"/>
        <w:spacing w:after="0" w:line="240" w:lineRule="auto"/>
        <w:jc w:val="both"/>
        <w:rPr>
          <w:rFonts w:ascii="Times New Roman CYR" w:hAnsi="Times New Roman CYR" w:cs="Times New Roman CYR"/>
        </w:rPr>
        <w:sectPr w:rsidR="00E11C64">
          <w:pgSz w:w="16838" w:h="11906" w:orient="landscape"/>
          <w:pgMar w:top="570" w:right="720" w:bottom="570" w:left="720" w:header="720" w:footer="720" w:gutter="0"/>
          <w:cols w:space="720"/>
          <w:noEndnote/>
        </w:sectPr>
      </w:pPr>
    </w:p>
    <w:p w:rsidR="00E11C64" w:rsidRDefault="009E61E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Примітки до фінансової звітності, складеної відповідно до міжнародних стандартів фінансової звітності</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Примiтки до фiнансових звiтiв ПрАТ "Запорiжсклофлюс" за рiк, що закiнчився 31 грудня 2024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згiдно з МСФЗ</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"Запорiжсклофлюс" фiнансовi звiти за 2024 рiк складенi за формами, встановленими Нацiональним положенням (стандартом) бухгалтерського облiку 1 "Загальнi вимоги до фiнансової звiтностi", затвердженими наказом Мiнiстерства фiнансiв України вiд 07.02.2013 № 73.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Зважаючи на те, що данi форми не вiдповiдають вимогам, викладеним у МСБО (IAS) 1 "Подання фiнансових звiтiв", а саме, Баланс (Звiт про фiнансовий стан) та Звiт про власний капiтал не дають можливостi розкрити порiвняльну iнформацiю за попереднi перiоди, у письмових примiтках пiдприємство наводить форми Звiтiв про фiнансовий стан, сукупнi доходи, про змiни у власному капiталi та рух грошових коштiв за рiк, що закiнчився 31 грудня 2024 року iз порiвняльними даними.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Надана фiнансова звiтнiсть ПрАТ "Запорiжсклофлюс" складена згiдно iз вимогами Мiжнародних стандартiв фiнансової звiтностi за перiод, який закiнчився 31 грудня 2024 року.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ПРИМIТКИ ДО РIЧНОЇ ФIНАНСОВОЇ ЗВIТНОСТI за звiтний перiод, що закiнчився 31 грудня 2024 року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(Примiтки є невiд'ємною частиною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ПРИМIТКИ ДО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1.Iнформацiя про Компанiю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Приватного акцiонерного товариства "Запорiжсклофлюс" за рiк, що закiнчився 31 грудня 2024р., була затверджена до випуску 17 березня 2025 року.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Приватне акцiонерне товариство "Запорiжсклофлюс" (далi - ПрАТ "Запорiжсклофлюс" або "Товариство") було створено у 1947 роцi, як суб'єкт господарської дiяльностi, який функцiонує на принципах повної господарської самостiйностi та самоокупностi, економiчної та правової самостiйностi.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Повна назва Товариства</w:t>
      </w:r>
      <w:r>
        <w:rPr>
          <w:rFonts w:ascii="Times New Roman CYR" w:hAnsi="Times New Roman CYR" w:cs="Times New Roman CYR"/>
          <w:sz w:val="24"/>
          <w:szCs w:val="24"/>
        </w:rPr>
        <w:tab/>
        <w:t>Приватне акцiонерне товариство "Запорiжсклофлюс"</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Скорочена назва Товариства</w:t>
      </w:r>
      <w:r>
        <w:rPr>
          <w:rFonts w:ascii="Times New Roman CYR" w:hAnsi="Times New Roman CYR" w:cs="Times New Roman CYR"/>
          <w:sz w:val="24"/>
          <w:szCs w:val="24"/>
        </w:rPr>
        <w:tab/>
        <w:t>ПрАТ "Запорiжсклофлюс"</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 за ЄДРПОУ</w:t>
      </w:r>
      <w:r>
        <w:rPr>
          <w:rFonts w:ascii="Times New Roman CYR" w:hAnsi="Times New Roman CYR" w:cs="Times New Roman CYR"/>
          <w:sz w:val="24"/>
          <w:szCs w:val="24"/>
        </w:rPr>
        <w:tab/>
        <w:t>00293255</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Адреса реєстрацiї</w:t>
      </w:r>
      <w:r>
        <w:rPr>
          <w:rFonts w:ascii="Times New Roman CYR" w:hAnsi="Times New Roman CYR" w:cs="Times New Roman CYR"/>
          <w:sz w:val="24"/>
          <w:szCs w:val="24"/>
        </w:rPr>
        <w:tab/>
        <w:t>69035, м. Запорiжжя, вул. Дiагональна,2</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Мiжмiський код та телефон</w:t>
      </w:r>
      <w:r>
        <w:rPr>
          <w:rFonts w:ascii="Times New Roman CYR" w:hAnsi="Times New Roman CYR" w:cs="Times New Roman CYR"/>
          <w:sz w:val="24"/>
          <w:szCs w:val="24"/>
        </w:rPr>
        <w:tab/>
        <w:t>+38 (061) 239-70-61</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Державна реєстрацiя: дата проведення та орган реєстрацiї</w:t>
      </w:r>
      <w:r>
        <w:rPr>
          <w:rFonts w:ascii="Times New Roman CYR" w:hAnsi="Times New Roman CYR" w:cs="Times New Roman CYR"/>
          <w:sz w:val="24"/>
          <w:szCs w:val="24"/>
        </w:rPr>
        <w:tab/>
        <w:t>30.12.1994 Запорiзька мiська рада народних депутатiв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Основний вид дiяльностi за КВЕД</w:t>
      </w:r>
      <w:r>
        <w:rPr>
          <w:rFonts w:ascii="Times New Roman CYR" w:hAnsi="Times New Roman CYR" w:cs="Times New Roman CYR"/>
          <w:sz w:val="24"/>
          <w:szCs w:val="24"/>
        </w:rPr>
        <w:tab/>
        <w:t>20.59 Виробництво iншої хiмiчної продукцiї; 20.13Виробництво iнших основних неорганiчних хiмiчних речовин   23.13Виробництво порожнистого скла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Вiдповiдальнi особи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Володимир НЕТЯГА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 о. головного бухгалтера     Свiтлана ХИЖНЯК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Чисельнiсть працюючих</w:t>
      </w:r>
      <w:r>
        <w:rPr>
          <w:rFonts w:ascii="Times New Roman CYR" w:hAnsi="Times New Roman CYR" w:cs="Times New Roman CYR"/>
          <w:sz w:val="24"/>
          <w:szCs w:val="24"/>
        </w:rPr>
        <w:tab/>
        <w:t xml:space="preserve">   200</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сторiнка в Iнтернетi</w:t>
      </w:r>
      <w:r>
        <w:rPr>
          <w:rFonts w:ascii="Times New Roman CYR" w:hAnsi="Times New Roman CYR" w:cs="Times New Roman CYR"/>
          <w:sz w:val="24"/>
          <w:szCs w:val="24"/>
        </w:rPr>
        <w:tab/>
        <w:t>https://www.steklo-flus.com</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Адреса електронної пошти   </w:t>
      </w:r>
      <w:r>
        <w:rPr>
          <w:rFonts w:ascii="Times New Roman CYR" w:hAnsi="Times New Roman CYR" w:cs="Times New Roman CYR"/>
          <w:sz w:val="24"/>
          <w:szCs w:val="24"/>
        </w:rPr>
        <w:tab/>
        <w:t>contact@steklo.zp.ua</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 це пiдприємство 100% акцiй якого належать акцiонерам фiзичним та юридичним особам. Пiдприємство є найбiльшим виробником силiкату натрiю (брили) в Українi, одним з найбiльших свiтових виробникiв зварювальних плавлених флюсiв, а також виробником посуду з пресованого безбарвного скла. З силiкату натрiю ми робимо i реалiзуємо рiдке скло, як наливом, так i фасоване. ПрАТ "Запорiжсклофлюс" пов'язують мiцнi дiловi вiдносини з споживачами з багатьох країн свiту.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Основною метою ПрАТ "Запорiжсклофлюс" є здiйснення пiдприємницької дiяльностi для одержання прибутку в iнтересах акцiонерiв Товариства, отримання акцiонерами дивiдендiв, а також задоволення потреб пiдприємств всiх форм власностi та громадян в продукцiї та послугах шляхом здiйснення виробничо-господарської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"Запорiжсклофлюс" має в своєму розпорядженнi достатню кiлькiсть висококвалiфiкованих фахiвцiв, якi володiють великим потенцiалом, що дозволяє вирiшувати технологiчнi завдання будь-якої складностi i оперативно реагувати на потреби сучасного виробництва i ринку.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 це колегiальний орган, який захищає права акцiонера, а також здiйснює нагляд та регулювання дiяльностi Товариства. Членiв Наглядової ради у складi 3 осiб обирають загальнi збори на строк до 3 рокiв.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Нижче подано склад Наглядової ради станом на дату затвердження цiєї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w:t>
      </w:r>
      <w:r>
        <w:rPr>
          <w:rFonts w:ascii="Times New Roman CYR" w:hAnsi="Times New Roman CYR" w:cs="Times New Roman CYR"/>
          <w:sz w:val="24"/>
          <w:szCs w:val="24"/>
        </w:rPr>
        <w:tab/>
        <w:t xml:space="preserve">                                                ПIБ</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      Пан</w:t>
      </w:r>
      <w:r>
        <w:rPr>
          <w:rFonts w:ascii="Times New Roman CYR" w:hAnsi="Times New Roman CYR" w:cs="Times New Roman CYR"/>
          <w:sz w:val="24"/>
          <w:szCs w:val="24"/>
        </w:rPr>
        <w:tab/>
        <w:t>Сергiй Оселедчик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 Наглядової ради         Панi          Людмила Мiрiленко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 Наглядової ради         Пан           Олександр Лисцев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Дирекцiя здiйснює управлiння поточною дiяльнiстю Товариства. Члени Дирекцiї у складi 3 осiб обираються Наглядовою радою Товариства.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Нижче подано склад Дирекцiї станом на дату затвердження цiєї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w:t>
      </w:r>
      <w:r>
        <w:rPr>
          <w:rFonts w:ascii="Times New Roman CYR" w:hAnsi="Times New Roman CYR" w:cs="Times New Roman CYR"/>
          <w:sz w:val="24"/>
          <w:szCs w:val="24"/>
        </w:rPr>
        <w:tab/>
        <w:t xml:space="preserve">                                                   ПIБ</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Пан          Володимир Нетяга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  Дирекцiї                       Панi          Марiя Щебетун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  Дирекцiї</w:t>
      </w:r>
      <w:r>
        <w:rPr>
          <w:rFonts w:ascii="Times New Roman CYR" w:hAnsi="Times New Roman CYR" w:cs="Times New Roman CYR"/>
          <w:sz w:val="24"/>
          <w:szCs w:val="24"/>
        </w:rPr>
        <w:tab/>
        <w:t xml:space="preserve">                 Пан          Дмитро Гулiдов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контролером/учасником небанкiвської фiнансової групи.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пiдприємством, що становить суспiльний iнтерес.</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2.1.Основа складання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Товариства є фiнансовою звiтнiстю загального призначення, яка сформована з метою достовiрного подання фiнансового стану, фiнансових результатiв дiяльностi та грошових потокiв Товариства для задоволення iнформацiйних потреб широкого кола користувачiв при прийняттi ними економiчних рiшень.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Ця фiнансова звiтнiсть складена у вiдповiдностi до Мiжнародних стандартiв фiнансової звiтностi (МСФЗ), з врахуванням змiн, внесених  РМСБО, </w:t>
      </w:r>
      <w:r>
        <w:rPr>
          <w:rFonts w:ascii="Times New Roman CYR" w:hAnsi="Times New Roman CYR" w:cs="Times New Roman CYR"/>
          <w:sz w:val="24"/>
          <w:szCs w:val="24"/>
        </w:rPr>
        <w:lastRenderedPageBreak/>
        <w:t xml:space="preserve">дотримання яких забезпечує достовiрне подання iнформацiї в фiнансовiй звiтностi, а саме, доречної, достовiрної, зiставної та зрозумiлої iнформацiї.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вiдображеннi в бухгалтерському облiку господарських операцiй i подiй застосовувались норми вiдповiдних Мiжнародних стандартiв бухгалтерського облiку (МСБО) та Тлумачення (КТМФЗ, ПКТ), виданi Радою з Мiжнародних стандартiв бухгалтерського облiку (РМСБО).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формуваннi фiнансової звiтностi Товариство керувалося також вимогами нацiональних законодавчих та нормативних актiв щодо органiзацiї i ведення бухгалтерського облiку та складання фiнансової звiтностi в Українi, якi не суперечать вимогам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Ця фiнансова звiтнiсть складена на основi принципу iсторичної вартостi, за винятком зазначеного в основних положеннях облiкової полiтики нижче (наприклад, оцiнка окремих фiнансових iнструментiв, що оцiнюються вiдповiдно до МСФЗ 9 "Фiнансовi iнструменти", та iнших).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складання звiтностi: станом на 31.12.2024 року.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Звiтний перiод: звiтний 2024рiк, який починається 01.01.2024 та закiнчується 31.12.2024.</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Валюта звiтностi: нацiональна валюта України - гривня.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Одиниця вимiру валюти звiтностi: тисячi гривень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Перехiд на МСФЗ</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вiдповiдностi до вимог МСФЗ (IFRS) 1 "Перше застосування Мiжнародних стандартiв фiнансової звiтностi" Товариство склало вхiдний баланс згiдно з МСФЗ на дату переходу на МСФЗ з 01.01.2012р.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дати переходу на МСФЗ пiдприємство вело нормативний бухгалтерський облiк та складало окрему фiнансову звiтнiсть у гривнях вiдповiдно до Положень (стандартiв) бухгалтерського облiку (П(с)БО). Фiнансова звiтнiсть за МСФЗ вiдрiзняється вiд нормативної звiтностi, складеної для цiлей звiтностi в Українi, тим, що вона мiстить певнi коригування, не вiдображенi в бухгалтерських книгах пiдприємства, якi необхiднi для вiдповiдного подання фiнансового стану, результатiв дiяльностi та руху грошових коштiв згiдно з МСФЗ. Змiна концептуальної основи складання фiнансової звiтностi з П(с)БО на МСФЗ була здiйснена вiдповiдно до вимог змiн, внесених до Закону "Про бухгалтерський облiк та фiнансову звiтнiсть в Українi", якi набули чинностi 1 сiчня 2012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Суттєвi облiковi судження, оцiнки та припущення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Складання фiнансової звiтностi Товариства вимагає вiд керiвництва здiйснення оцiнок та припущень, якi впливають на поданi у фiнансовiй звiтностi суми доходiв, витрат, активiв та зобов'язань, а також розкриття iнформацiї про умовнi зобов'язання на кiнець звiтного перiоду.  Однак невизначенiсть щодо цих припущень i оцiнок може призвести до результатiв, якi можуть вимагати суттєвих коригувань балансової вартостi активу або зобов'язання, стосовно яких робляться подiбнi припущення й оцiнки, у майбутньому.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Пiдготовка фiнансової звiтностi також вимагає, щоб при застосуваннi облiкової полiтики Товариства його керiвництво застосовувало власнi професiйнi судження. Областi, де такi судження є особливо важливими, областi, що характеризуються високим рiвнем складностi, та областi, в яких припущення й розрахунки мають велике значення для пiдготовки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Концепцiя суттєвостi у фiнансовiй звiтностi визначається в МСФЗ 1. Згiдно зi стандартом суттєвi пропуски чи помилки мають мiсце тодi, коли можуть поодинцi або все разом вплинути на господарськi рiшення, що приймаються користувачами фiнансової звiтностi на її основi. Цей принцип може застосовуватися i стосовно агрегування фiнансової iнформацiї та її розкриття. Визначення суттєвостi у фiнансовiй звiтностi грунтується на низцi чинникiв, серед яких значаться: специфiка дiяльностi пiдприємства, правова й економiчна ситуацiя, якiсть систем бухгалтерiї та внутрiшнього контролю. В основу для визначення порога суттєвостi в облiку Товариства обрано власний капiтал, вiдсоток вартостi обраної основи (тобто порогом суттєвостi) є 5%. Якщо значення необхiдних коригувань, якi потребують МСФЗ, в межах вiд 0% до 5% вiд власного капiталу, то такий вплив визнається не суттєвим та не потребує вiдображення у облiку.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3 метою формування показникiв фiнансової звiтностi Товариство встановило порiг суттєвостi в розмiрi: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Порiг суттєвостi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фiнансовий стан</w:t>
      </w:r>
      <w:r>
        <w:rPr>
          <w:rFonts w:ascii="Times New Roman CYR" w:hAnsi="Times New Roman CYR" w:cs="Times New Roman CYR"/>
          <w:sz w:val="24"/>
          <w:szCs w:val="24"/>
        </w:rPr>
        <w:tab/>
        <w:t xml:space="preserve">                5%  пiдсумку балансу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сукупний дохiд</w:t>
      </w:r>
      <w:r>
        <w:rPr>
          <w:rFonts w:ascii="Times New Roman CYR" w:hAnsi="Times New Roman CYR" w:cs="Times New Roman CYR"/>
          <w:sz w:val="24"/>
          <w:szCs w:val="24"/>
        </w:rPr>
        <w:tab/>
        <w:t xml:space="preserve">                2  %  чистого доходу вiд реалiзацiї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рух грошових коштiв</w:t>
      </w:r>
      <w:r>
        <w:rPr>
          <w:rFonts w:ascii="Times New Roman CYR" w:hAnsi="Times New Roman CYR" w:cs="Times New Roman CYR"/>
          <w:sz w:val="24"/>
          <w:szCs w:val="24"/>
        </w:rPr>
        <w:tab/>
        <w:t>5  % суми чистого руху коштiв вiд операцiйної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змiни у власному капiталi</w:t>
      </w:r>
      <w:r>
        <w:rPr>
          <w:rFonts w:ascii="Times New Roman CYR" w:hAnsi="Times New Roman CYR" w:cs="Times New Roman CYR"/>
          <w:sz w:val="24"/>
          <w:szCs w:val="24"/>
        </w:rPr>
        <w:tab/>
        <w:t>5  % розмiру власного капiталу пiдприємства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Оцiнки та припущення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оцiнки та припущення, якi впливають на суми, що вiдображаються у фiнансовiй звiтностi, та на балансову вартiсть активiв та зобов'язань протягом наступного фiнансового року. Розрахунки та судження постiйно оцiнюються та базуються на попередньому досвiдi керiвництва та iнших факторах, у тому числi на очiкуваннях щодо майбутнiх подiй, якi вважаються обгрунтованими за поточних обставин. Крiм суджень, якi передбачають облiковi оцiнки, керiвництво пiдприємства також використовує професiйнi судження при застосуваннi облiкової полiтики. Фiнансова звiтнiсть Товариства пiдготовлена виходячи з припущення безперервностi дiяльностi, вiдповiдно до якого реалiзацiя активiв i погашення зобов'язань вiдбувається в ходi звичайної дiяльностi. Фiнансова звiтнiсть не включає коригування, якi необхiдно було б провести в тому випадку, якби Товариство не могло продовжити подальше здiйснення фiнансово-господарської дiяльностi вiдповiдно до принципiв безперервностi дiяльностi. Оцiнюючи доречнiсть припущення про безперервнiсть, управлiнський персонал бере до уваги всю наявну iнформацiю щодо майбутнього - щонайменше на 12 мiсяцiв з кiнця звiтного перiоду, але не обмежуючись цим перiодом.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2024 року тривають бойовi дiї на територiї України та застосовується режим воєнного стану, що дає пiдстави вважати, що є суттєва невизначенiсть, щодо стабiльностi подальшого функцiонування та обсягiв зменшення ринку фiнансових послуг на територiї України взагалi.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функцiонує у нестабiльному середовищi, що пов'язано iз полiтичною та фiнансовою кризою в Українi, що продовжується у 2024 роцi, а також продовженням збройного конфлiкту. В поточному роцi не можна виключати новi руйнування iнфраструктури та дестабiлiзацiю економiки. Незалежно вiд того, як будуть розвиватись подiї, тиснути на економiку буде падiння промислового виробництва через втрати на сходi країни, супроводжуване значним скороченням споживчого попиту через зниження реальних доходiв населення. Цi подiї справили та продовжують справляти значний вплив на фiнансовий стан Товариства.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Враховуючи вищевикладене, Товариство зробило оцiнку припущення щодо безперервностi дiяльностi, на основi якого була пiдготовлена фiнансова звiтнiсть за 2024 рiк. Дiяльнiсть Товариства зазнала значного впливу вiйни, наразi iснує значна невизначенiсть щодо розвитку вiйськового вторгнення рф на територiю України, його тривалостi та вiдповiдно впливу на дiяльнiсть Товариства, його персонал, лiквiднiсть та збереження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специфiчнi фактори ризику включають: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безпека персоналу Товариства;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безпека майна, яка залежить вiд розвитку вiйськових подiй. Втрати майна через втрати доступу або контролю;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порушення дiяльностi через часткову вiдсутнiсть логiстичних шлiхiв постачання продукцiї та постiйнi атаки росiї на енергетичну i iншу критичну iнфраструктуру країни, що негативно позначається на покупцях Товариства;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i- ншi фактори.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Через вiйськовi дiї Товариство тимчасово втратило контроль над базою вiдпочинку "Кристал"., яка знаходиться в пмт. Кирилiвка  Запорiзької областi. Iнформацiю про такi активи розкрито в примiтцi 22.</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Нижче поданi основнi припущення, що стосуються майбутнього та iнших основних джерел невизначеностi оцiнок на звiтну дату, якi несуть у собi </w:t>
      </w:r>
      <w:r>
        <w:rPr>
          <w:rFonts w:ascii="Times New Roman CYR" w:hAnsi="Times New Roman CYR" w:cs="Times New Roman CYR"/>
          <w:sz w:val="24"/>
          <w:szCs w:val="24"/>
        </w:rPr>
        <w:lastRenderedPageBreak/>
        <w:t>значний ризик виникнення необхiдностi внесення суттєвих коригувань до балансової вартостi активiв та зобов'язань протягом наступного фiнансового року. Оцiнки та припущення Товариства грунтувалися на параметрах, доступних у процесi складання фiнансової звiтностi. Однак поточнi обставини та припущення щодо перспектив можуть змiнитися пiд впливом ринкових змiн або обставин, якi не пiддаються контролю Товариства. Такi змiни вiдображаються у припущеннях по мiрi їхнього виникнення.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Українське законодавство й нормативнi акти, що регулюють сферу оподаткування та iншi аспекти дiяльностi компанiй, включаючи валютний контроль i митне законодавство, продовжують зазнавати значних змiн. Зазвичай положення законiв i нормативних документiв є нечiткими й тлумачаться по-рiзному мiсцевими, регiональними й державними органами, а також iншими урядовими установами. Випадки розбiжностей в тлумаченнi законодавства є непоодинокими. Керiвництво Товариства вважає, що тлумачення ним положень законодавства, якi регулюють дiяльнiсть Товариства, є правильним, i що Товариство дотрималось усiх нормативних положень, а всi передбаченi законодавством податки були сплаченi або нарахованi.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Вiдстроченi податковi активи визнаються для всiх невикористаних податкових збиткiв, якщо iснує ймовiрнiсть наявностi оподатковуваного прибутку, в рахунок якого можуть бути використанi збитки. Суттєвi оцiнки керiвництва необхiднi для визначення суми вiдстрочених податкових активiв, якi можуть бути визнанi, виходячи з iмовiрних строкiв i розмiру майбутнього оподатковуваного прибутку й стратегiї податкового планування в майбутньому. Детальна iнформацiя про визнанi вiдстроченi податковi активи наводиться у примiтцi 2.5.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Податковий Кодекс України починаючи з 2015 року передбачає незмiнну ставку податку на прибуток пiдприємств.  Керiвництво Товариства оцiнює вiдстроченi податковi активи та зобов'язання на основi припущень, зроблених iз метою визначення того, коли актив буде реалiзовано або зобов'язання буде погашено, виходячи зi ставок податку (та податкового законодавства), встановлених або фактично встановлених на кiнець кожного наступного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рiк, що закiнчився 31 грудня 2024р., нормативна ставка податку на прибуток пiдприємств в Українi становила 18%. Ставка податку на прибуток пiдприємств у наступних перiодах вiдповiдно до Податкового Кодексу України буде такою: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1 сiчня 2025р. i надалi: 18%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за чистою вартiстю реалiзацiї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 це активи,якi утримуються для продажу у звичайному ходi бiзнесу, використовуються у виробничому процесi або для надання послуг. Запаси вiдображаються за меншою з двох величин: собiвартiстю або чистою вартiстю реалiзацiї. Для облiку витрат i калькулювання собiвартостi виконується однопередiльний (простий) метод. Собiвартiсть запасiв включає прямi витрати на матерiали, прямi витрати на оплату працi та вiдповiдну частину перемiнних або постiйних виробничих накладних витрат. Собiвартiсть розраховується з використанням середньозваженого методу. При вибуттi запасiв використовується метод середньозваженої собiвартостi. Оцiночнi резерви нараховуються на застарiлi запаси та запаси, з низькою оборотнiстю.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оцiнює необхiднiсть списання вартостi запасiв до їхньої чистої вартостi реалiзацiї з урахуванням цiн пiсля закiнчення перiоду та цiлей, для яких призначенi запаси. Якщо вартiсть запасiв не пiдлягає повному вiдшкодуванню, балансова вартiсть таких запасiв коригується до їхньої чистої вартостi реалiзацiї.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Сума скоригованого резерву визнається у прибутку або збитку. Станом на 31 грудня 2024 року резерв на знецiнення запасiв у сумi 3 761тис. грн. (на 31 грудня 2023 року - 3 916тис. грн.). Сума запасiв, вiдновлених до придатностi протягом року, складає 2 075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Зменшення корисностi необоротних активiв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у вiдповiдностi до вимог МСБО 36 "Зменшення корисностi активiв" регулярно виконує процедури для визначення наявностi ознак зменшення корисностi та перевiрки на предмет можливостi вiдшкодування балансової вартостi основних засобiв. Визначення зменшення корисностi основних засобiв передбачає застосування оцiнок, якi включають, зокрема, встановлення причини, часу та суми зменшення корисностi. Зменшення корисностi грунтується на великiй кiлькостi факторiв, як-от: змiна поточного конкурентного середовища, очiкування щодо зростання промисловостi, збiльшення вартостi капiталу, змiни у майбутнiй доступностi фiнансування, технологiчне старiння, припинення певного виду дiяльностi, поточна вартiсть вiдшкодування та iншi змiни в обставинах, якi свiдчать про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кожну звiтну дату Товариство оцiнює наявнiсть будь-яких ознак зменшення корисностi активу. Якщо такi ознаки iснують, Товариство оцiнює суму вiдшкодування активу. Це вимагає оцiнки вартостi використання,одиниць що генерують грошовi потоки, до яких належить актив. Визначення збиткiв вiд знецiнення основних засобiв включає використання оцiнок, якi включають, але не обмежуються, причину, час та суму збиткiв вiд знецiнення. Знецiнення опирається на велику кiлькiсть факторiв, таких як, змiни у поточних конкурентних умовах, очiкування щодо зростання галузi, збiльшення вартостi капiталу, змiни наявностi фiнансування в майбутньому, технологiчне старiння, припинення дiяльностi, поточнi витрати на замiщення та iншi обставини, що можуть iдентифiкувати ознаки знецiнення. Визначення вартостi вiдшкодування одиницi, що генерує грошовi кошти, передбачає використання прогнозу керiвництвом.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грудня 2024р. керiвництво Товариства не виявило жодних ознак зменшення корисностi балансової вартостi основних засобiв.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основних засобiв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оцiнює залишковий строк корисного використання основних засобiв щонайменше на кiнець кожного фiнансового року. Якщо очiкування вiдрiзняються вiд попереднiх оцiнок, змiни облiковуються як змiни в облiкових оцiнках вiдповiдно до МСБО (IAS) 8 "Облiковi полiтики, змiни в облiкових оцiнках та помилки". Такi оцiнки можуть мати суттєвий вплив на балансову вартiсть основних засобiв та суму амортизацiї, визнану у звiтi про прибутки та збитки.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Знецiнення торгової та iншої дебiторської заборгованостi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розрахунку оцiночного резерву пiд збитки торгової дебiторської заборгованостi та авансiв виданих, очiкуваних як протягом 12-ти мiсячного перiоду, так i протягом усього термiну дiї фiнансового iнструменту Товариство застосовує загальний пiдхiд визначення суми таких збиткiв.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разi неможливостi повернення дебiторської заборгованостi вона списується за рахунок створеного резерву на покриття збиткiв пiд очiкуванi кредитнi збитки. Станом на 31 грудня 2024 р. керiвництво Товариства визнало резерв пiд очiкуванi кредитнi збитки за торговою дебiторською заборгованiстю в сумi 6 666 тис. грн. (31 грудня 2023 р. - 6 073 тис. грн.), резерв пiд очiкуванi кредитнi збитки за iншою заборгованiстю в сумi 28 406 тис. грн. (31 грудня 2023 р. - 28 371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Пенсiйний план iз встановленими виплатами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Приведена вартiсть зобов'язання за пенсiйними виплатами встановлюється з використанням актуарного методу.  Актуарний метод базується на рiзних припущеннях, якi можуть вiдрiзнятися вiд фактичних результатiв у майбутньому. Актуарний метод використовує припущення щодо ставки дисконтування, темпiв зростання заробiтної плати в майбутньому, рiвня смертностi i темпiв зростання пенсiй у майбутньому. Зважаючи на складнiсть оцiнки та довгострокового характеру зобов'язань за пенсiйним планом iз встановленими виплатами подiбнi зобов'язання високочутливi до </w:t>
      </w:r>
      <w:r>
        <w:rPr>
          <w:rFonts w:ascii="Times New Roman CYR" w:hAnsi="Times New Roman CYR" w:cs="Times New Roman CYR"/>
          <w:sz w:val="24"/>
          <w:szCs w:val="24"/>
        </w:rPr>
        <w:lastRenderedPageBreak/>
        <w:t xml:space="preserve">змiн цих припущень. Усi припущення переглядаються на кожну звiтну дату.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ПДВ активу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дiючого Податкового Кодексу України, зобов'язання платника ПДВ виникає на дату вiдвантаження товарiв клiєнту чи на дату отримання оплати вiд клiєнта, залежно вiд того, що вiдбувається ранiше. Кредит з ПДВ виникає у момент реєстрацiї в ЄРПН податкової накладної. Крiм того, законодавство визначає, що податковi накладнi мають бути зареєстрованi та включенi до складу податкового кредиту платником податку в термiн 365 днiв з дати їхнього складання. У разi призупинення реєстрацiї податкової накладної/розрахунку коригування до такої податкової накладної в ЄРПН перебiг зазначеного термiну переривається на перiод призупинення їх реєстрацiї i поновлюється з дня припинення процедури призупинення їх реєстрацiї вiдповiдно до ПКУ.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ПДВ нараховувався iз застосуванням ставки 20% - на обсяги внутрiшнiх продажiв та iмпорту товарiв, робiт i послуг на внутрiшньому ринку України. Податкове зобов'язання з ПДВ вiдображає загальну суму ПДВ, що стягується впродовж звiтного перiоду, i виникає за першою подiєю, датою вiдвантаження товарiв замовнику/надання послуги або датою отримання платежу вiд клiєнта. Податковий кредит з ПДВ - це сума, яку платник податку має право перекрити своїм зобов'язанням з ПДВ у звiтному перiодi. Вiдповiдно до законодавства України, право на податковий кредит виникає або на дату здiйснення оплати постачальнику або на дату одержання товару/послуги.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Додатне значення рiзницi мiж зобов'язаннями з ПДВ та вхiдним ПДВ перераховується до державного бюджету,визнається в балансi i показується як зобов'язання.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позови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значною мiрою використовує судження при оцiнцi та визнаннi резервiв та ризику умовних зобов'язань стосовно позовiв, що перебувають на розглядi в судi, або iнших неврегульованих претензiй, що пiдлягають вирiшенню шляхом переговорiв, посередництва, арбiтражного провадження або урядового регулювання, а також iнших умовних зобов'язань. Судження необхiднi для оцiнки ймовiрностi задоволення позову, що перебуває на розглядi, або виникнення зобов'язання, а також для визначення можливих обсягiв кiнцевого вiдшкодування. З огляду на невизначенiсть, що притаманна процесу оцiнки, фактичнi збитки можуть вiдрiзнятися вiд попередньо визначених забезпечень. Такi оцiнки пiдлягають змiнi по мiрi отримання нової iнформацiї, головним чином за допомоги внутрiшнiх експертiв, за наявностi, або за пiдтримки зовнiшнiх консультантiв, як, наприклад, актуарiї або юрисконсульти. Перегляд оцiнок може мати суттєвий вплив на операцiйнi результати у майбутньому.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2.4.Заява про використання облiкової полiтики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Товариства розроблена та затверджена керiвництвом Товариства вiдповiдно до вимог МСБО 8 "Облiковi полiтики, змiни в облiкових оцiнках та помилки" та iнших чинних МСФЗ, зокрема, МСФЗ 9 "Фiнансовi iнструменти" та МСФЗ 15 "Дохiд вiд договорiв з клiєнтами".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Загальнi положення щодо облiкових полiтик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веде бухгалтерський облiк у вiдповiдностi до вимог чинного законодавства України, Закону України "Про бухгалтерський облiк та фiнансову звiтнiсть в Українi", Мiжнародних стандартiв фiнансової звiтностi, Статуту  та Облiкової полiтики.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з 2005 року була затверджена наказом вiд 16.01.2005 р. № 2. В подальшому до облiкової полiтики були внесенi змiни та доповнення, пов'язанi зi змiною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в облiковiй полiтицi та розкриттях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обирає та застосовує свої облiковi полiтики послiдовно для подiбних операцiй, iнших подiї або умов, якщо МСФЗ конкретно не вимагає </w:t>
      </w:r>
      <w:r>
        <w:rPr>
          <w:rFonts w:ascii="Times New Roman CYR" w:hAnsi="Times New Roman CYR" w:cs="Times New Roman CYR"/>
          <w:sz w:val="24"/>
          <w:szCs w:val="24"/>
        </w:rPr>
        <w:lastRenderedPageBreak/>
        <w:t>або не дозволяє визначення категорiї статей, для яких iншi полiтики можуть бути доречними.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Товариства, застосовувана в 2024 роцi вiдповiдає облiковiй полiтицi попереднього фiнансового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складаннi цiєї фiнансової звiтностi ПрАТ "Запорiжсклофлюс" використовувало тi ж самi облiковi полiтики, що i при складаннi фiнансової звiтностi за перiод, що закiнчився 31.12.2023р.</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МСБО (IAS) 8 "Облiковi полiтики, змiни в облiкових оцiнках та помилки" коригування показникiв до 2023 року було проведено шляхом ретроспективного перерахування статей фiнансових звiтiв.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Зведенi данi щодо проведених коригувань представленi у таблицi 1.</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Таблиця 1   (тис. грн.)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Стаття фiнансових звiтiв</w:t>
      </w:r>
      <w:r>
        <w:rPr>
          <w:rFonts w:ascii="Times New Roman CYR" w:hAnsi="Times New Roman CYR" w:cs="Times New Roman CYR"/>
          <w:sz w:val="24"/>
          <w:szCs w:val="24"/>
        </w:rPr>
        <w:tab/>
        <w:t>Залишок на 31.12.2023р до перерахунку статей фiнансових звiтiв</w:t>
      </w:r>
      <w:r>
        <w:rPr>
          <w:rFonts w:ascii="Times New Roman CYR" w:hAnsi="Times New Roman CYR" w:cs="Times New Roman CYR"/>
          <w:sz w:val="24"/>
          <w:szCs w:val="24"/>
        </w:rPr>
        <w:tab/>
        <w:t>Результат перерахунку</w:t>
      </w:r>
      <w:r>
        <w:rPr>
          <w:rFonts w:ascii="Times New Roman CYR" w:hAnsi="Times New Roman CYR" w:cs="Times New Roman CYR"/>
          <w:sz w:val="24"/>
          <w:szCs w:val="24"/>
        </w:rPr>
        <w:tab/>
        <w:t>Результат змiн внаслiдок рекласифiкацiї</w:t>
      </w:r>
      <w:r>
        <w:rPr>
          <w:rFonts w:ascii="Times New Roman CYR" w:hAnsi="Times New Roman CYR" w:cs="Times New Roman CYR"/>
          <w:sz w:val="24"/>
          <w:szCs w:val="24"/>
        </w:rPr>
        <w:tab/>
        <w:t>Залишок на 31.12.2023р пiсля проведення перерахунку статей фiнансових звiтiв</w:t>
      </w:r>
      <w:r>
        <w:rPr>
          <w:rFonts w:ascii="Times New Roman CYR" w:hAnsi="Times New Roman CYR" w:cs="Times New Roman CYR"/>
          <w:sz w:val="24"/>
          <w:szCs w:val="24"/>
        </w:rPr>
        <w:tab/>
        <w:t>Пояснення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внаслiдок внесення змiн до стандартiв</w:t>
      </w:r>
      <w:r>
        <w:rPr>
          <w:rFonts w:ascii="Times New Roman CYR" w:hAnsi="Times New Roman CYR" w:cs="Times New Roman CYR"/>
          <w:sz w:val="24"/>
          <w:szCs w:val="24"/>
        </w:rPr>
        <w:tab/>
        <w:t>внаслiдок виправлення помилок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оборотнi активи</w:t>
      </w:r>
      <w:r>
        <w:rPr>
          <w:rFonts w:ascii="Times New Roman CYR" w:hAnsi="Times New Roman CYR" w:cs="Times New Roman CYR"/>
          <w:sz w:val="24"/>
          <w:szCs w:val="24"/>
        </w:rPr>
        <w:tab/>
        <w:t>944</w:t>
      </w:r>
      <w:r>
        <w:rPr>
          <w:rFonts w:ascii="Times New Roman CYR" w:hAnsi="Times New Roman CYR" w:cs="Times New Roman CYR"/>
          <w:sz w:val="24"/>
          <w:szCs w:val="24"/>
        </w:rPr>
        <w:tab/>
      </w:r>
      <w:r>
        <w:rPr>
          <w:rFonts w:ascii="Times New Roman CYR" w:hAnsi="Times New Roman CYR" w:cs="Times New Roman CYR"/>
          <w:sz w:val="24"/>
          <w:szCs w:val="24"/>
        </w:rPr>
        <w:tab/>
        <w:t>(11)</w:t>
      </w:r>
      <w:r>
        <w:rPr>
          <w:rFonts w:ascii="Times New Roman CYR" w:hAnsi="Times New Roman CYR" w:cs="Times New Roman CYR"/>
          <w:sz w:val="24"/>
          <w:szCs w:val="24"/>
        </w:rPr>
        <w:tab/>
      </w:r>
      <w:r>
        <w:rPr>
          <w:rFonts w:ascii="Times New Roman CYR" w:hAnsi="Times New Roman CYR" w:cs="Times New Roman CYR"/>
          <w:sz w:val="24"/>
          <w:szCs w:val="24"/>
        </w:rPr>
        <w:tab/>
        <w:t>933</w:t>
      </w:r>
      <w:r>
        <w:rPr>
          <w:rFonts w:ascii="Times New Roman CYR" w:hAnsi="Times New Roman CYR" w:cs="Times New Roman CYR"/>
          <w:sz w:val="24"/>
          <w:szCs w:val="24"/>
        </w:rPr>
        <w:tab/>
        <w:t>Перерахунок статей фiнансових звiтiв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коригування активiв</w:t>
      </w:r>
      <w:r>
        <w:rPr>
          <w:rFonts w:ascii="Times New Roman CYR" w:hAnsi="Times New Roman CYR" w:cs="Times New Roman CYR"/>
          <w:sz w:val="24"/>
          <w:szCs w:val="24"/>
        </w:rPr>
        <w:tab/>
        <w:t>131 120</w:t>
      </w:r>
      <w:r>
        <w:rPr>
          <w:rFonts w:ascii="Times New Roman CYR" w:hAnsi="Times New Roman CYR" w:cs="Times New Roman CYR"/>
          <w:sz w:val="24"/>
          <w:szCs w:val="24"/>
        </w:rPr>
        <w:tab/>
      </w:r>
      <w:r>
        <w:rPr>
          <w:rFonts w:ascii="Times New Roman CYR" w:hAnsi="Times New Roman CYR" w:cs="Times New Roman CYR"/>
          <w:sz w:val="24"/>
          <w:szCs w:val="24"/>
        </w:rPr>
        <w:tab/>
        <w:t>(11)</w:t>
      </w:r>
      <w:r>
        <w:rPr>
          <w:rFonts w:ascii="Times New Roman CYR" w:hAnsi="Times New Roman CYR" w:cs="Times New Roman CYR"/>
          <w:sz w:val="24"/>
          <w:szCs w:val="24"/>
        </w:rPr>
        <w:tab/>
      </w:r>
      <w:r>
        <w:rPr>
          <w:rFonts w:ascii="Times New Roman CYR" w:hAnsi="Times New Roman CYR" w:cs="Times New Roman CYR"/>
          <w:sz w:val="24"/>
          <w:szCs w:val="24"/>
        </w:rPr>
        <w:tab/>
        <w:t>131 109</w:t>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Пасив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(не покритий збиток)</w:t>
      </w:r>
      <w:r>
        <w:rPr>
          <w:rFonts w:ascii="Times New Roman CYR" w:hAnsi="Times New Roman CYR" w:cs="Times New Roman CYR"/>
          <w:sz w:val="24"/>
          <w:szCs w:val="24"/>
        </w:rPr>
        <w:tab/>
        <w:t>93 911</w:t>
      </w:r>
      <w:r>
        <w:rPr>
          <w:rFonts w:ascii="Times New Roman CYR" w:hAnsi="Times New Roman CYR" w:cs="Times New Roman CYR"/>
          <w:sz w:val="24"/>
          <w:szCs w:val="24"/>
        </w:rPr>
        <w:tab/>
      </w:r>
      <w:r>
        <w:rPr>
          <w:rFonts w:ascii="Times New Roman CYR" w:hAnsi="Times New Roman CYR" w:cs="Times New Roman CYR"/>
          <w:sz w:val="24"/>
          <w:szCs w:val="24"/>
        </w:rPr>
        <w:tab/>
        <w:t>(13)</w:t>
      </w:r>
      <w:r>
        <w:rPr>
          <w:rFonts w:ascii="Times New Roman CYR" w:hAnsi="Times New Roman CYR" w:cs="Times New Roman CYR"/>
          <w:sz w:val="24"/>
          <w:szCs w:val="24"/>
        </w:rPr>
        <w:tab/>
      </w:r>
      <w:r>
        <w:rPr>
          <w:rFonts w:ascii="Times New Roman CYR" w:hAnsi="Times New Roman CYR" w:cs="Times New Roman CYR"/>
          <w:sz w:val="24"/>
          <w:szCs w:val="24"/>
        </w:rPr>
        <w:tab/>
        <w:t>93 898</w:t>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кредиторська заборгованiсть за: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 роботи, послуги</w:t>
      </w:r>
      <w:r>
        <w:rPr>
          <w:rFonts w:ascii="Times New Roman CYR" w:hAnsi="Times New Roman CYR" w:cs="Times New Roman CYR"/>
          <w:sz w:val="24"/>
          <w:szCs w:val="24"/>
        </w:rPr>
        <w:tab/>
        <w:t>12 194</w:t>
      </w:r>
      <w:r>
        <w:rPr>
          <w:rFonts w:ascii="Times New Roman CYR" w:hAnsi="Times New Roman CYR" w:cs="Times New Roman CYR"/>
          <w:sz w:val="24"/>
          <w:szCs w:val="24"/>
        </w:rPr>
        <w:tab/>
      </w:r>
      <w:r>
        <w:rPr>
          <w:rFonts w:ascii="Times New Roman CYR" w:hAnsi="Times New Roman CYR" w:cs="Times New Roman CYR"/>
          <w:sz w:val="24"/>
          <w:szCs w:val="24"/>
        </w:rPr>
        <w:tab/>
        <w:t>1</w:t>
      </w:r>
      <w:r>
        <w:rPr>
          <w:rFonts w:ascii="Times New Roman CYR" w:hAnsi="Times New Roman CYR" w:cs="Times New Roman CYR"/>
          <w:sz w:val="24"/>
          <w:szCs w:val="24"/>
        </w:rPr>
        <w:tab/>
      </w:r>
      <w:r>
        <w:rPr>
          <w:rFonts w:ascii="Times New Roman CYR" w:hAnsi="Times New Roman CYR" w:cs="Times New Roman CYR"/>
          <w:sz w:val="24"/>
          <w:szCs w:val="24"/>
        </w:rPr>
        <w:tab/>
        <w:t>12 195</w:t>
      </w:r>
      <w:r>
        <w:rPr>
          <w:rFonts w:ascii="Times New Roman CYR" w:hAnsi="Times New Roman CYR" w:cs="Times New Roman CYR"/>
          <w:sz w:val="24"/>
          <w:szCs w:val="24"/>
        </w:rPr>
        <w:tab/>
        <w:t>Перерахунок статей фiнансових звiтiв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Розрахунками зi страхування</w:t>
      </w:r>
      <w:r>
        <w:rPr>
          <w:rFonts w:ascii="Times New Roman CYR" w:hAnsi="Times New Roman CYR" w:cs="Times New Roman CYR"/>
          <w:sz w:val="24"/>
          <w:szCs w:val="24"/>
        </w:rPr>
        <w:tab/>
        <w:t>351</w:t>
      </w:r>
      <w:r>
        <w:rPr>
          <w:rFonts w:ascii="Times New Roman CYR" w:hAnsi="Times New Roman CYR" w:cs="Times New Roman CYR"/>
          <w:sz w:val="24"/>
          <w:szCs w:val="24"/>
        </w:rPr>
        <w:tab/>
      </w:r>
      <w:r>
        <w:rPr>
          <w:rFonts w:ascii="Times New Roman CYR" w:hAnsi="Times New Roman CYR" w:cs="Times New Roman CYR"/>
          <w:sz w:val="24"/>
          <w:szCs w:val="24"/>
        </w:rPr>
        <w:tab/>
        <w:t>1</w:t>
      </w:r>
      <w:r>
        <w:rPr>
          <w:rFonts w:ascii="Times New Roman CYR" w:hAnsi="Times New Roman CYR" w:cs="Times New Roman CYR"/>
          <w:sz w:val="24"/>
          <w:szCs w:val="24"/>
        </w:rPr>
        <w:tab/>
      </w:r>
      <w:r>
        <w:rPr>
          <w:rFonts w:ascii="Times New Roman CYR" w:hAnsi="Times New Roman CYR" w:cs="Times New Roman CYR"/>
          <w:sz w:val="24"/>
          <w:szCs w:val="24"/>
        </w:rPr>
        <w:tab/>
        <w:t>352</w:t>
      </w:r>
      <w:r>
        <w:rPr>
          <w:rFonts w:ascii="Times New Roman CYR" w:hAnsi="Times New Roman CYR" w:cs="Times New Roman CYR"/>
          <w:sz w:val="24"/>
          <w:szCs w:val="24"/>
        </w:rPr>
        <w:tab/>
        <w:t>Перерахунок статей фiнансових звiтiв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коригування пасивiв</w:t>
      </w:r>
      <w:r>
        <w:rPr>
          <w:rFonts w:ascii="Times New Roman CYR" w:hAnsi="Times New Roman CYR" w:cs="Times New Roman CYR"/>
          <w:sz w:val="24"/>
          <w:szCs w:val="24"/>
        </w:rPr>
        <w:tab/>
        <w:t>131 120</w:t>
      </w:r>
      <w:r>
        <w:rPr>
          <w:rFonts w:ascii="Times New Roman CYR" w:hAnsi="Times New Roman CYR" w:cs="Times New Roman CYR"/>
          <w:sz w:val="24"/>
          <w:szCs w:val="24"/>
        </w:rPr>
        <w:tab/>
      </w:r>
      <w:r>
        <w:rPr>
          <w:rFonts w:ascii="Times New Roman CYR" w:hAnsi="Times New Roman CYR" w:cs="Times New Roman CYR"/>
          <w:sz w:val="24"/>
          <w:szCs w:val="24"/>
        </w:rPr>
        <w:tab/>
        <w:t>(11)</w:t>
      </w:r>
      <w:r>
        <w:rPr>
          <w:rFonts w:ascii="Times New Roman CYR" w:hAnsi="Times New Roman CYR" w:cs="Times New Roman CYR"/>
          <w:sz w:val="24"/>
          <w:szCs w:val="24"/>
        </w:rPr>
        <w:tab/>
      </w:r>
      <w:r>
        <w:rPr>
          <w:rFonts w:ascii="Times New Roman CYR" w:hAnsi="Times New Roman CYR" w:cs="Times New Roman CYR"/>
          <w:sz w:val="24"/>
          <w:szCs w:val="24"/>
        </w:rPr>
        <w:tab/>
        <w:t>131 109</w:t>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Товариства недоцiльно повторно оприлюднювати виправленi фiнансовi звiти за 2023 рiк в зв'язку з несуттєвiстю iнформацiї щодо виправлення помилок, якi мали мiсце в попереднiх перiодах.</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2.5.Основнi положення облiкової полiтики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Класифiкацiя активiв i зобов'язань на оборотнi / короткостроковi та необоротнi / довгостроковi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звiтi про фiнансовий стан Товариство представляє активи та зобов'язання на основi їх класифiкацiї на поточнi/короткостроковi та не поточнi/довгостроковi.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 є поточним, якщо:</w:t>
      </w:r>
      <w:r>
        <w:rPr>
          <w:rFonts w:ascii="Times New Roman CYR" w:hAnsi="Times New Roman CYR" w:cs="Times New Roman CYR"/>
          <w:sz w:val="24"/>
          <w:szCs w:val="24"/>
        </w:rPr>
        <w:tab/>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його передбачається реалiзувати або вiн призначений для продажу або споживання в рамках звичайного операцiйного циклу;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вiн призначений в основному для цiлей торгiвлi;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його передбачається реалiзувати протягом дванадцяти мiсяцiв пiсля закiнчення звiтного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перiоду;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вiн являє собою грошовi кошти або їх еквiваленти, за винятком випадкiв наявностi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обмежень на його обмiн або використання для погашення зобов'язань протягом як мiнiмум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дванадцяти мiсяцiв пiсля закiнчення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Усi iншi активи класифiкуються як не поточнi.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є поточним, якщо: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w:t>
      </w:r>
      <w:r>
        <w:rPr>
          <w:rFonts w:ascii="Times New Roman CYR" w:hAnsi="Times New Roman CYR" w:cs="Times New Roman CYR"/>
          <w:sz w:val="24"/>
          <w:szCs w:val="24"/>
        </w:rPr>
        <w:tab/>
        <w:t xml:space="preserve">його передбачається погасити в рамках звичайного операцiйного циклу;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воно утримується в основному для цiлей торгiвлi; воно пiдлягає погашенню протягом дванадцяти мiсяцiв пiсля закiнчення звiтного перiоду;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у компанiї вiдсутнiй безумовне право вiдстрочити погашення зобов'язання на протязi як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мiнiмум дванадцяти мiсяцiв пiсля закiнчення звiтного перiоду.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класифiкує всi iншi зобов'язання в якостi не поточних. Вiдкладенi податковi активи та зобов'язання класифiкуються як не поточнi/довгостроковi активи та зобов'язання.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Визнання справедливої вартостi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 це цiна, яка була б отримана вiд продажу активу або сплачена за зобов'язанням при звичайнiй операцiї мiж учасниками ринку на дату оцiнки. Найкращим свiдченням справедливої вартостi є цiна на активному ринку. Активний ринок - це такий ринок, на якому операцiї щодо активiв i зобов'язань мають мiсце iз достатньою частотою та в достатнiх обсягах для того, щоб забезпечити iнформацiю щодо цiноутворення на поточнiй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Оцiнка справедливої вартостi грунтується на припущеннi, що угода щодо продажу активу або передачi зобов'язання має мiсце: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Або на основному ринку для цього активу чи зобов'язання,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Або у вiдсутнiсть основного ринку, в найбiльш вигiдному ринку для даного активу чи зобов'язання.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повинно мати доступ до основного або найбiльш вигiдного ринку.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Справедлива вартiсть активу або зобов'язання вимiрюється за допомогою припущень, що учасники ринку повиннi використовувати при визначеннi вартостi активу або зобов'язання, якщо припустити, що учасники ринку дiють у вiдповiдностi до власних економiчних iнтересiв.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справедливої вартостi нефiнансового активу враховує здатнiсть учасника ринку генерувати економiчнi вигоди, використовуючи актив в його найкращому i найбiльш ефективному використаннi, або продаючи його iншому учаснику ринку, який буде використовувати актив в його найкращому i найбiльш ефективному використаннi.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використовує рiзнi методи оцiнки, необхiднi в даних обставинах, i для яких є достатньо даних для визначення справедливої вартостi, максимального використання вiдповiдних ринкових даних i зведення до мiнiмуму використання неочевидних даних.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активи та зобов'язання, справедлива вартiсть яких вимiрюється або розкривається у фiнансовiй звiтностi належать до категорiї в наведеної нижче iєрархiї справедливої вартостi, яка базується на  ступенi рiвня джерел визначення вхiдних даних для оцiнки: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1 - котирування (без коригувань) ринкової цiни на активних ринках для iдентичних активiв i зобов'язань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Рiвень 2 - методи оцiнки, в яких суттєвi для оцiнки вхiднi данi, якi вiдносяться до бiльш низького рiвня iєрархiї, є прямо або побiчно спостережуванi на ринку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3 - методи оцiнки, в яких суттєвi для оцiнки вхiднi данi, якi вiдносяться до бiльш низького рiвня iєрархiї, не є спостережуванi на ринку.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метою розкриття справедливої  вартостi, Товариство визначило класи активiв i зобов'язань на основi природних характеристик та ризикiв активу або зобов'язання i рiвня iєрархiї справедливої  вартостi, як описано вище.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в iноземнiй валютi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Функцiональною валютою та валютою подання фiнансової звiтностi Товариства є гривня. Операцiї в iноземнiй валютi первiсно вiдображаються у функцiональнiй валютi за обмiнним курсом, що дiє на дату здiйснення операцiї. Монетарнi активи та зобов'язання, деномiнованi в iноземнiй валютi, перераховуються у функцiональну валюту за обмiнним курсом, що дiє на кiнець звiтного перiоду. Всi курсовi рiзницi, що виникають вiд такого перерахунку, вiдображаються у звiтi про фiнансовi результати. Немонетарнi статтi, якi оцiнюються за iсторичною вартiстю в iноземнiй валютi, перераховуються за обмiнним курсом, що дiяв на дату первiсних операцiй.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використовувало обмiннi курси на дату балансу: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Показник                </w:t>
      </w:r>
      <w:r>
        <w:rPr>
          <w:rFonts w:ascii="Times New Roman CYR" w:hAnsi="Times New Roman CYR" w:cs="Times New Roman CYR"/>
          <w:sz w:val="24"/>
          <w:szCs w:val="24"/>
        </w:rPr>
        <w:tab/>
        <w:t>31.12.2024</w:t>
      </w:r>
      <w:r>
        <w:rPr>
          <w:rFonts w:ascii="Times New Roman CYR" w:hAnsi="Times New Roman CYR" w:cs="Times New Roman CYR"/>
          <w:sz w:val="24"/>
          <w:szCs w:val="24"/>
        </w:rPr>
        <w:tab/>
        <w:t>31.12.2023</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Гривня/ 1 долар США</w:t>
      </w:r>
      <w:r>
        <w:rPr>
          <w:rFonts w:ascii="Times New Roman CYR" w:hAnsi="Times New Roman CYR" w:cs="Times New Roman CYR"/>
          <w:sz w:val="24"/>
          <w:szCs w:val="24"/>
        </w:rPr>
        <w:tab/>
        <w:t xml:space="preserve">42,0390    </w:t>
      </w:r>
      <w:r>
        <w:rPr>
          <w:rFonts w:ascii="Times New Roman CYR" w:hAnsi="Times New Roman CYR" w:cs="Times New Roman CYR"/>
          <w:sz w:val="24"/>
          <w:szCs w:val="24"/>
        </w:rPr>
        <w:tab/>
        <w:t>37,9824</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Гривня/ 1 євро</w:t>
      </w:r>
      <w:r>
        <w:rPr>
          <w:rFonts w:ascii="Times New Roman CYR" w:hAnsi="Times New Roman CYR" w:cs="Times New Roman CYR"/>
          <w:sz w:val="24"/>
          <w:szCs w:val="24"/>
        </w:rPr>
        <w:tab/>
        <w:t xml:space="preserve">                43,9266</w:t>
      </w:r>
      <w:r>
        <w:rPr>
          <w:rFonts w:ascii="Times New Roman CYR" w:hAnsi="Times New Roman CYR" w:cs="Times New Roman CYR"/>
          <w:sz w:val="24"/>
          <w:szCs w:val="24"/>
        </w:rPr>
        <w:tab/>
        <w:t xml:space="preserve">                42,2079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дату переходу на МСФЗ керiвництво Товариства використало справедливу вартiсть в якостi умовної вартостi. З цiєю метою керiвництво використало оцiнки, виконанi незалежними квалiфiкованими професiйними оцiнювачами для визначення справедливої вартостi об'єктiв основних засобiв. Справедлива вартiсть активiв, для яких iснує ринок, визначалась за їхньою ринковою вартiстю. Якщо для об'єкта основних засобiв, через його спецiальне призначення, не iснувало ринкових iндикаторiв справедливої вартостi, i даний об'єкт рiдко є предметом продажу, за виключенням випадкiв продажу як частини дiючого господарського об'єкта, для оцiнки справедливої вартостi використовувався метод амортизованої вартостi замiщення.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дати переходу на МСФЗ основнi засоби вiдображаються за собiвартiстю за вирахуванням накопиченого зносу та/або, за наявностi, накопичених збиткiв вiд зменшення корисностi. Така собiвартiсть включає витрати, пов'язанi з замiною частини основних засобiв, та витрати на позики для довгострокових будiвельних проектiв, якщо вони вiдповiдають критерiям визнання. Собiвартiсть самостiйно виробленого активу визначається на основi тих же принципiв, що i собiвартiсть активу, що купується. При проведеннi основних технiчних оглядiв витрати на їх проведення визнаються у складi балансової вартостi основних засобiв як вартiсть замiни, якщо дотримано всiх необхiдних для такого визнання критерiїв. Усi iншi витрати на ремонт i технiчне обслуговування визнаються у прибутках та збитках в момент їх понесення. Витрати на капiтальний ремонт (модернiзацiю, реконструкцiю) додаються до балансової вартостi об'єкта основних засобiв при умовi, що очiкується додатковий приток майбутнiх економiчних вигiд, пов'язаних з таким активом, витрати можна достовiрно оцiнити.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Знос основних засобiв нараховується лiнiйним методом протягом очiкуваних строкiв корисного використання вiдповiдних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Будiвлi та споруди                         10-50</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Виробниче та iнше обладнання     5-35</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Транспортнi засоби                       5-10</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Офiснi меблi та обладнання</w:t>
      </w:r>
      <w:r>
        <w:rPr>
          <w:rFonts w:ascii="Times New Roman CYR" w:hAnsi="Times New Roman CYR" w:cs="Times New Roman CYR"/>
          <w:sz w:val="24"/>
          <w:szCs w:val="24"/>
        </w:rPr>
        <w:tab/>
        <w:t xml:space="preserve">         3-12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Сума витрат на модернiзацiю яка визнана у складi балансової вартостi основних засобiв за 2024 рiк складає 1 022 тис. грн.( у 2023р. - 24 тис. грн.), сума витрат на капiтальний ремонт яка визнана у складi балансової вартостi основних засобiв за 2024 рiк складає 3 225 тис. грн.( у 2023р. - 3 852 тис. грн.)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Припинення визнання основних засобiв вiдбувається при їх вибуттi або у випадку, коли в майбутньому не очiкується отримання економiчної вигоди вiд використання або реалiзацiї такого активу. Будь-якi прибутки або збитки, якi виникають у зв'язку з припиненням визнання активу (розрахованi як рiзниця мiж чистими надходженнями вiд вибуття активу та його балансовою вартiстю), включаються до звiту про фiнансовi результати за рiк, у якому об'єкт був знятий з облiку.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Залишкова вартiсть, строки корисного використання й методи нарахування амортизацiї активiв переглядаються наприкiнцi кожного фiнансового року й, у разi необхiдностi, коригуються перспективно.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Незавершене будiвництво включає, переважно, капiталовкладення, понесенi внаслiдок будiвництва нових i реконструкцiї iснуючих основних засобiв. Об'єкти незавершеного будiвництва облiковуються за собiвартiстю. Собiвартiсть включає в себе витрати, безпосередньо пов'язанi з будiвництвом об'єктiв основних засобiв, включаючи змiннi накладнi витрати, в тому числi капiталiзованi витрати на позики стосовно квалiфiкованих </w:t>
      </w:r>
      <w:r>
        <w:rPr>
          <w:rFonts w:ascii="Times New Roman CYR" w:hAnsi="Times New Roman CYR" w:cs="Times New Roman CYR"/>
          <w:sz w:val="24"/>
          <w:szCs w:val="24"/>
        </w:rPr>
        <w:lastRenderedPageBreak/>
        <w:t>активiв. Амортизацiя цих активiв, як i аналогiчних об'єктiв основних засобiв, починається з моменту їх готовностi до використання. У складi незавершених капiтальних iнвестицiй станом на 31.12.2024р. враховано передплати у сумi 1 399 тис. грн. (станом на 31.12.2023р. - 0 тис. грн.)</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 це майно, яким Товариство володiє для отримання доходу вiд здачi його в оренду або для приросту капiталу, або для обох цих цiлей.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Товариства формується за рахунок iснуючих об'єктiв нерухомостi внаслiдок змiни їх призначення та їх переведення з категорiї нерухомостi, яку займає Товариство, у категорiю iнвестицiйної нерухомостi.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Залишкова вартiсть, строки корисного використання й методи нарахування амортизацiї активiв переглядаються наприкiнцi кожного фiнансового року й, у разi необхiдностi, коригуються перспективно.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Пiсля початкового визнання, Товариство облiковує об'єкти iнвестицiйної нерухомостi за собiвартiстю мiнус будь-яка накопичена амортизацiя та будь-якi накопиченi збитки вiд зменшення корисностi. Амортизацiя iнвестицiйної нерухомостi розраховується прямолiнiйним методом згiдно зi строками корисної експлуатацiї.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Термiн корисного використання для об'єктiв iнвестицiйної нерухомостi встановлюється як i для об'єктiв групи основних засобiв "будiвлi та споруди".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Зароблений орендний дохiд облiковується у прибутку чи збитку в статтi iнших операцiйних доходiв.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iз тим, що пiдприємство враховує iнвестицiйну нерухомiсть за первiсною вартiстю за мiнусом нарахованої амортизацiї воєнний стан i пов'язанi з ними нестабiльнiсть економiки не впливають на вартiсть iнвестицiйної нерухомостi.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складi iнвестицiйної нерухомостi Товариства знаходиться склад комового вапна з залишковою вартiстю станом на 31.12.2024р. - 202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позики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позики, безпосередньо пов'язанi з придбанням, будiвництвом або виробництвом активу, який через необхiднiсть вимагає тривалого часу для його пiдготовки до планового використання або до продажу, капiталiзуються як частина собiвартостi такого активу. Всi iншi витрати на позики вiдносяться на витрати в тому звiтному перiодi, в якому вони були понесенi. Витрати на позики мiстять у собi сплату процентiв та iншi витрати, понесенi Товариством в зв'язку з залученням позикових коштiв.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Товариство не отримувало позик вiд фiнансових установ, а також вiд iнших осiб.</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Земля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Земля, що перебуває у власностi Товариства, на якiй розташованi бiльшiсть з її виробничих потужностей, вiдображається за собiвартiстю. Право власностi пiдтверджується державним актом на земельну дiлянку. Товариство сплачує земельний податок, який щорiчно розраховується державними органами виходячи з загальної площi та цiлей використання такої землi. Земля не амортизується, оскiльки неможливо надiйно оцiнити строк її корисного використання.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Придбанi нематерiальнi активи, що мають обмеженi строки корисного використання, вiдображаються за їх вартiстю за вирахуванням накопиченої амортизацiї та накопичених збиткiв вiд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визнає нематерiальними активами об'єкти, якi використовуватимуться бiльше року.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облiковує нематерiальнi активи за собiвартiстю. Подальшi витрати на нематерiальнi активи пiсля його придбання або створення визнаються у складi витрат того перiоду, у якому вони понесенi, за винятком випадкiв, коли є вiрогiдним, що витрати дозволять активу приносити майбутнi економiчнi вигоди в обсязi понад початково-очiкуванi, та такi витрати можуть бути достовiрно оцiненi.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Нематерiальний актив з визначеним термiном корисної експлуатацiї пiдлягає амортизацiї на перiод, вказаний у договорi, патентi чи лiцензiї. Строк амортизацiї нематерiального активу з визначеним строком корисної експлуатацiї переглядається в кiнцi кожного фiнансового року.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розраховується на основi собiвартостi активу прямолiнiйним методом протягом встановленого термiну корисного використання з дати, коли актив є готовим до використання. Амортизацiйнi витрати визнаються в Звiтi про сукупний дохiд. Дiапазон термiнiв корисного використання нематерiальних активiв складає вiд 1 до 10 рокiв.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 з невизначеним строком корисного використання не амортизуються. Строк корисного використання нематерiального активу з невизначеним строком використання переглядається щорiчно з метою визначення того, наскiльки прийнятно продовжувати вiдносити цей актив до категорiї активiв iз невизначеним строком корисного використання. Якщо це неприйнятно, змiна оцiнки строку корисного використання з невизначеного на обмежений здiйснюється на перспективнiй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Доходи або витрати вiд припинення визнання нематерiального активу оцiнюються як рiзниця мiж чистою виручкою вiд вибуття активу та балансовою вартiстю активу й визнаються у звiтi про фiнансовi результати в момент припинення визнання цього активу.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Зменшення корисностi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кожну звiтну дату Товариство встановлює наявнiсть ознак зменшення корисностi нефiнансових активiв. Якщо такi ознаки iснують, або якщо необхiдно виконати щорiчне тестування активу на предмет зменшення корисностi, Товариство здiйснює оцiнку вiдшкодовуваної вартостi активу. Вiдшкодовувана вартiсть активу - це найбiльша з таких величин: справедливої вартостi активу або пiдроздiлу, що генерує грошовi потоки, за вирахуванням витрат на продаж, i цiнностi вiд використання активу. Вiдшкодовувана вартiсть визначається для окремого активу, крiм випадкiв, коли актив не генерує надходження коштiв, якi здебiльшого є незалежними вiд надходжень, генерованих iншими активами Товариства. Якщо балансова вартiсть активу перевищує його вiдшкодовувану вартiсть, актив вважається таким, кориснiсть якого зменшилась, i списується до вiдшкодовуваної вартостi. При оцiнцi цiнностi вiд використання майбутнi грошовi потоки дисконтуються за ставкою дисконтування до оподаткування, яка вiдображає поточну ринкову оцiнку тимчасової вартостi грошей i ризики, властивi активу. При визначенi справедливої вартостi за вирахуванням витрат на продаж використовується вiдповiдна модель оцiнки. Такi розрахунки пiдтверджуються оцiночними коефiцiєнтами чи iншими наявними показниками справедливої вартостi.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Збитки вiд зменшення корисностi, включаючи збитки вiд зменшення корисностi запасiв, визнаються у звiтi про фiнансовi результати у складi тих категорiй витрат, якi вiдповiдають функцiї активу, кориснiсть якого зменшилася.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кожного звiтного перiоду для усiх активiв, крiм гудвiла, визначається, чи є ознаки того, що ранiше визнанi збитки вiд зменшення корисностi активу бiльше не iснують або зменшилися. При наявностi такої ознаки Товариство розраховує суму очiкуваного вiдшкодування активу, що генерує грошовi потоки. Ранiше визнанi збитки вiд зменшення корисностi сторнуються тiльки в тому випадку, якщо мала мiсце змiна у припущеннях, якi використовувалися для визначення вiдшкодовуваної вартостi активу з часу останнього визнання збитку вiд зменшення корисностi. Сторнування обмежене таким чином, що балансова вартiсть активу не перевищує суми його очiкуваного вiдшкодування, а також не може перевищувати балансової вартостi, за вирахуванням амортизацiї, за якою цей актив визнавався б у випадку, якщо в попереднi роки не був би визнаний збиток вiд зменшення корисностi. Таке сторнування визнається у звiтi про фiнансовi результати.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 з невизначеним строком корисного використання тестуються на предмет зменшення корисностi щороку станом на 31 грудня, а також якщо обставини вказують на те, що кориснiсть їхньої балансової вартостi могла зменшитися. Тестування проводиться на iндивiдуальнiй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Товариства у вiдповiдностi до вимог МСБО 36 "Зменшення корисностi активiв" регулярно виконує процедури для визначення наявностi ознак зменшення корисностi та перевiрки на предмет можливостi вiдшкодування балансової вартостi основних засобiв. Визначення зменшення корисностi основних засобiв передбачає застосування оцiнок, якi включають, зокрема, встановлення причини, часу та суми зменшення корисностi. Зменшення корисностi грунтується на великiй кiлькостi факторiв, як-от: змiна поточного конкурентного середовища, очiкування щодо зростання </w:t>
      </w:r>
      <w:r>
        <w:rPr>
          <w:rFonts w:ascii="Times New Roman CYR" w:hAnsi="Times New Roman CYR" w:cs="Times New Roman CYR"/>
          <w:sz w:val="24"/>
          <w:szCs w:val="24"/>
        </w:rPr>
        <w:lastRenderedPageBreak/>
        <w:t>промисловостi, збiльшення вартостi капiталу, змiни у майбутнiй доступностi фiнансування, технологiчне старiння, припинення певного виду дiяльностi, поточна вартiсть вiдшкодування та iншi змiни в обставинах, якi свiдчать про зменшення корисностi.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iнструменти - первiсне визнання та подальша оцiнка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Фiнансовим iнструментом є будь-який договiр, що призводить до виникнення фiнансового активу у одного суб'єкта господарювання та фiнансового зобов'язання або iнструменту власного капiталу в iншого суб'єкта господарювання.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та оцiнка доходiв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 МСФЗ (IFRS) 9 "Фiнансовi iнструменти" при первiсному визнаннi фiнансового активу, який класифiкується як позика або дебiторська заборгованiсть, Товариство визначає його в якостi  фiнансового активу, що оцiнюються за справедливою вартiстю через прибуток або збиток. Пiд час первiсного визнання фiнансових активiв Товариство присвоює їм вiдповiдну категорiю.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первiсному визнаннi фiнансовi активи оцiнюються за справедливою вартiстю плюс (у випадку, якщо iнвестицiї не класифiкуються як фiнансовi активи переоцiнюваннi за справедливою вартiстю через прибуток або збиток) витрати, безпосередньо пов'язанi зi здiйсненням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Всi угоди з купiвлi або продажу фiнансових активiв, що вимагають поставки активiв у строки, якi встановлюються законодавством або правилами, прийнятими на певному ринку (угоди на "стандартних умовах"), визнаються на дату укладання угоди, тобто на дату, коли Товариство бере на себе зобов'язання купити або продати актив.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активи Товариства включають грошовi кошти та їх еквiваленти, торгову та iншу дебiторську заборгованiсть. Товариство не класифiкувало жоднi фiнансовi активи як такi, що оцiнюються за справедливою вартiстю з вiдображенням переоцiнки як прибутку або збитку, або що утримуються до погашення чи наявнi для продажу.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 фiнансових активiв залежить вiд їхньої класифiкацiї у такий спосiб:</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Торгова та iнша дебiторська заборгованiсть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класифiкує дебiторську заборгованiсть за такими видами: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торгова дебiторська заборгованiсть,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аванси виданi,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iнша дебiторська заборгованiсть.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вiдображення в звiтi про фiнансовий стан Товариство видiляє короткострокову i довгострокову дебiторську заборгованiсть. Вiдповiдно до п. 4.1.5 МСФЗ (IFRS) 9 "Фiнансовi iнструменти", при первiсному визнаннi фiнансового активу, який класифiкується як позику або дебiторська заборгованiсть, Товариство визначає його як фiнансовий актив, що оцiнюється за справедливою вартiстю через прибуток або збиток. Торговельну дебiторську заборгованiсть пiдприємство оцiнює за цiною операцiї, якщо торговельна дебiторська заборгованiсть не мiстить значного компоненту фiнансування згiдно з МСФЗ 15.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первiсного визнання фiнансового активу Товариство розраховує та визнає очiкуваний кредитний збиток.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використовує рiзнi пiдходи для аналiзу очiкуваних кредитних збиткiв, що пов'язанi з фiнансовими активами вiд iноземних покупцiв, покупцiв на територiї України та iнших клiєнтiв.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Оцiнка очiкуваних кредитних збиткiв вiдображає: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об'єктивну та зважену на ймовiрнiсть суму, визначену шляхом оцiнки певного дiапазону можливих результатiв;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часову вартiсть грошей;</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усю необхiдну та пiдтверджувану iнформацiю, що є доступною на звiтну дату без надмiрних витрат або зусиль, включаючи iнформацiю про </w:t>
      </w:r>
      <w:r>
        <w:rPr>
          <w:rFonts w:ascii="Times New Roman CYR" w:hAnsi="Times New Roman CYR" w:cs="Times New Roman CYR"/>
          <w:sz w:val="24"/>
          <w:szCs w:val="24"/>
        </w:rPr>
        <w:lastRenderedPageBreak/>
        <w:t>минулi подiї, поточнi умови та прогнози майбутнiх економiчних умов.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Збитки вiд зменшення корисностi визнаються у звiтi про фiнансовi результати.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в наступному перiодi сума збитку вiд зменшення корисностi зменшується, i це зменшення може бути об'єктивно пов'язане з подiєю, яка вiдбувається пiсля визнання зменшення корисностi, то ранiше визнаний збиток вiд зменшення корисностi сторнується за рахунок коригування резервiв. Сума сторнування визнається в прибутку чи збитку. У разi неможливостi повернення дебiторської заборгованостi вона списується за рахунок створеного резерву на покриття збиткiв вiд зменшення корисностi.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основною дiяльнiстю та iнша дебiторська заборгованiсть спочатку визнаються за справедливою вартiстю, а в подальшому оцiнюються за амортизованою вартiстю iз використанням методу ефективної процентної ставки за вирахуванням резерву пiд знецiнення. Товариство здiйснює розрахунок резерву для дебiторської заборгованостi, що вiдповiдає ознакам фiнансового активу в розумiннi МСФЗ 9 "Фiнансовi iнструменти", диференцiйовано за наступними категорiями: "Поточна (не прострочена)", "Прострочена не бiльше нiж на 30 календарних днiв", "Прострочена вiд 31 до 90 днiв", "Прострочена вiд 91 до 180 днiв", "Прострочена вiд 181 до 360 днiв", "Прострочена понад 360 днiв". Пiд простроченою розумiється дебiторська заборгованiсть, термiн погашення якої минув. Величина резерву визначається за методом застосування коефiцiєнтiв очiкуваних кредитних збиткiв.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Оцiнка зменшення корисностi для торгiвельної заборгованостi з вiтчизняними  та iноземними покупцями та авансiв виданих вiтчизняним та iноземним пiдприємствам, iншої дебiторської заборгованостi розрахунок очiкуваних кредитних збиткiв здiйснюється на iндивiдуальнiй основi з урахуванням умов договору, очiкуваного перiоду погашення, законодавчих обмежень.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оцiнки кредитних збиткiв використана матриця: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Вiдсутнiсть прострочення</w:t>
      </w:r>
      <w:r>
        <w:rPr>
          <w:rFonts w:ascii="Times New Roman CYR" w:hAnsi="Times New Roman CYR" w:cs="Times New Roman CYR"/>
          <w:sz w:val="24"/>
          <w:szCs w:val="24"/>
        </w:rPr>
        <w:tab/>
        <w:t>Кiлькiсть днiв прострочення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1-30</w:t>
      </w:r>
      <w:r>
        <w:rPr>
          <w:rFonts w:ascii="Times New Roman CYR" w:hAnsi="Times New Roman CYR" w:cs="Times New Roman CYR"/>
          <w:sz w:val="24"/>
          <w:szCs w:val="24"/>
        </w:rPr>
        <w:tab/>
        <w:t>31-90</w:t>
      </w:r>
      <w:r>
        <w:rPr>
          <w:rFonts w:ascii="Times New Roman CYR" w:hAnsi="Times New Roman CYR" w:cs="Times New Roman CYR"/>
          <w:sz w:val="24"/>
          <w:szCs w:val="24"/>
        </w:rPr>
        <w:tab/>
        <w:t>91-180</w:t>
      </w:r>
      <w:r>
        <w:rPr>
          <w:rFonts w:ascii="Times New Roman CYR" w:hAnsi="Times New Roman CYR" w:cs="Times New Roman CYR"/>
          <w:sz w:val="24"/>
          <w:szCs w:val="24"/>
        </w:rPr>
        <w:tab/>
        <w:t>181-360</w:t>
      </w:r>
      <w:r>
        <w:rPr>
          <w:rFonts w:ascii="Times New Roman CYR" w:hAnsi="Times New Roman CYR" w:cs="Times New Roman CYR"/>
          <w:sz w:val="24"/>
          <w:szCs w:val="24"/>
        </w:rPr>
        <w:tab/>
        <w:t>бiльше 360</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t>0%</w:t>
      </w:r>
      <w:r>
        <w:rPr>
          <w:rFonts w:ascii="Times New Roman CYR" w:hAnsi="Times New Roman CYR" w:cs="Times New Roman CYR"/>
          <w:sz w:val="24"/>
          <w:szCs w:val="24"/>
        </w:rPr>
        <w:tab/>
        <w:t>3%</w:t>
      </w:r>
      <w:r>
        <w:rPr>
          <w:rFonts w:ascii="Times New Roman CYR" w:hAnsi="Times New Roman CYR" w:cs="Times New Roman CYR"/>
          <w:sz w:val="24"/>
          <w:szCs w:val="24"/>
        </w:rPr>
        <w:tab/>
        <w:t>20%</w:t>
      </w:r>
      <w:r>
        <w:rPr>
          <w:rFonts w:ascii="Times New Roman CYR" w:hAnsi="Times New Roman CYR" w:cs="Times New Roman CYR"/>
          <w:sz w:val="24"/>
          <w:szCs w:val="24"/>
        </w:rPr>
        <w:tab/>
        <w:t>50%</w:t>
      </w:r>
      <w:r>
        <w:rPr>
          <w:rFonts w:ascii="Times New Roman CYR" w:hAnsi="Times New Roman CYR" w:cs="Times New Roman CYR"/>
          <w:sz w:val="24"/>
          <w:szCs w:val="24"/>
        </w:rPr>
        <w:tab/>
        <w:t>100%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 активу зменшується за рахунок вiдповiдного резерву, а сума збитку визнається у прибутку чи збитку у складi iнших операцiйних витрат. Якщо дебiторська заборгованiсть за основною дiяльнiстю є такою, що не може бути повернута, вона списується за рахунок iнших операцiйних витрат. Списання дебiторської заборгованостi за рахунок резерву не здiйснюється. Сума резерву на дату фiнансової звiтностi розраховується з урахуванням списаних ранiше сум такої заборгованостi. Повернення ранiше списаних сум кредитується у складi прибутку чи збитку за рахунок iншого операцiйного доходу.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Припинення визнання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припиняє визнання фiнансових активiв, коли (а) активи погашенi або права на отримання грошових потокiв вiд активiв iнакше втратили свою чиннiсть, або (б) Товариство передало права на отримання грошових потокiв вiд фiнансових активiв або уклало угоду про передачу, i при цьому (i) також передало в основному всi ризики та вигоди, пов'язанi з володiнням активами, або (ii) Товариство не передало та не залишило в основному всi ризики та вигоди володiння, але припинило здiйснювати контроль. Контроль вважається збереженим, якщо контрагент не має практичної можливостi повнiстю продати актив непов'язанiй сторонi без внесення додаткових обмежень на перепродаж.</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цьому випадку Товариство також визнає вiдповiдне зобов'язання. Переданий актив i вiдповiдне зобов'язання оцiнюються на основi, що вiдображає права та зобов'язання, збереженi Товариством.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участь Товариства в активi, який має форму гарантiї за переданим активом, оцiнюється за меншим iз значень: первiсною балансовою вартiстю активу або максимальною сумою компенсацiї, яка може бути пред'явлена Товариству до сплати.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Визнання фiнансового зобов'язання припиняється, якщо зобов'язання погашене, анульоване або строк його дiї минув. Якщо наявне фiнансове зобов'язання замiнюється iншим зобов'язанням перед тим самим кредитором на суттєво вiдмiнних умовах, або якщо умови наявного зобов'язання </w:t>
      </w:r>
      <w:r>
        <w:rPr>
          <w:rFonts w:ascii="Times New Roman CYR" w:hAnsi="Times New Roman CYR" w:cs="Times New Roman CYR"/>
          <w:sz w:val="24"/>
          <w:szCs w:val="24"/>
        </w:rPr>
        <w:lastRenderedPageBreak/>
        <w:t>значно змiненi, то така замiна або змiни облiковуються як припинення визнання первiсного зобов'язання i початок визнання нового зобов'язання, а рiзниця в їх балансовiй вартостi визнається у звiтi про фiнансовi результати.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Зменшення корисностi фiнансових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визначає, чи iснують об'єктивнi ознаки зменшення корисностi фiнансових активiв або групи фiнансових активiв, на кожну звiтну дату. Вважається, що зменшення корисностi фiнансового активу або групи фiнансових активiв вiдбувається тiльки тодi, коли iснують об'єктивнi ознаки зменшення корисностi в результатi однiєї або бiльше подiй, якi настали пiсля первiсного визнання активу ("у випадку виникнення збиткiв"), i такий випадок виникнення збиткiв впливає на очiкуванi майбутнi грошовi потоки вiд фiнансового активу або групи фiнансових активiв, якi можуть бути достовiрно визначеними. Об'єктивнi ознаки зменшення корисностi можуть включати ознаки того, що позичальник або група позичальникiв зазнають суттєвих фiнансових труднощiв, порушують зобов'язання зi сплати процентiв або основної суми боргу, ймовiрнiсть банкрутства або фiнансової реорганiзацiї, а також, на пiдставi доступної ринкової iнформацiї, ознаки помiрного зменшення очiкуваних майбутнiх грошових потокiв, наприклад, змiни в рiвнi прострочених платежiв або в економiчних умовах, якi корелюють зi збитками за активами.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що облiковуються за амортизованою вартiстю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Стосовно активiв, вiдображених за амортизованою вартiстю, Товариство спочатку проводить окрему оцiнку iснування об'єктивних ознак зменшення корисностi iндивiдуально суттєвих фiнансових активiв або сукупно за фiнансовими активами, що не є iндивiдуально суттєвими. У разi якщо об'єктивнi ознаки зменшення корисностi фiнансового активу, що розглядається окремо, суттєвого або несуттєвого, вiдсутнi, цей актив включається до групи фiнансових активiв з аналогiчними характеристиками кредитного ризику. Така група фiнансових активiв оцiнюється на предмет зменшення корисностi на сукупнiй основi. Активи, якi оцiнюються окремо на предмет зменшення корисностi, та щодо яких визнається або продовжує визнаватися збиток вiд зменшення корисностi, не повиннi оцiнюватися на предмет зменшення корисностi на сукупнiй основi.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наявностi об'єктивних ознак понесення збиткiв унаслiдок зменшення корисностi фiнансових активiв сума збитку визначається як рiзниця мiж балансовою вартiстю активiв i поточною вартiстю очiкуваних майбутнiх грошових потокiв (за вирахуванням майбутнiх очiкуваних кредитних збиткiв, якi ще не були понесенi). Поточна вартiсть очiкуваних майбутнiх грошових потокiв дисконтується за первiсною ефективною процентною ставкою за фiнансовим активом.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Балансова вартiсть активу зменшується шляхом застосування рахунку резерву, й сума збитку визнається у звiтi про фiнансовi результати. Майбутнi процентнi доходи нараховуються на основi зменшеної балансової вартостi та з застосуванням процентної ставки, використаної для дисконтування майбутнiх грошових потокiв iз метою оцiнювання збиткiв вiд зменшення корисностi.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Первiсне визнання та оцiнка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 при первiсному визнаннi класифiкуються вiдповiдно як фiнансовi зобов'язання, що оцiнюються за амортизованою вартiстю.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 Товариства включають торгову та iншу кредиторську заборгованiсть, а також процентнi кредити та позики.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 фiнансових зобов'язань залежить вiд їхньої класифiкацiї у такий спосiб:</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та позики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первiсного визнання кредиторська заборгованiсть i процентнi кредити та позики оцiнюються за амортизованою вартiстю з використанням методу ефективної процентної ставки. Доходи i витрати за такими фiнансовими зобов'язаннями визнаються у звiтi про фiнансовi результати при припиненнi їх визнання, а також у мiру нарахування амортизацiї з використанням ефективної процентної ставки.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Амортизована вартiсть розраховується з урахуванням дисконтiв або премiй при придбаннi, а також комiсiйних або витрат, якi є невiд'ємною частиною ефективної процентної ставки. Амортизацiя ефективної процентної ставки включається до складу фiнансових витрат в звiтi про фiнансовi результати.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Припинення визнання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Фiнансове зобов'язання припиняє визнаватися у звiтi про фiнансовий стан, якщо зобов'язання погашене, анульоване або строк його дiї минув. Якщо iснуюче фiнансове зобов'язання замiнюється iншим зобов'язанням перед тим же кредитором, на суттєво вiдмiнних умовах, або якщо умови iснуючого зобов'язання значно змiненi, така замiна або змiни облiковуються як припинення визнання первiсного зобов'язання та початок визнання нового зобов'язання, а рiзниця у балансовiй вартостi визнається у прибутках та збитках.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Взаємозалiк фiнансових iнструментiв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 й фiнансовi зобов'язання пiдлягають взаємозалiку, а чиста сума -  поданню в балансi тодi й тiльки тодi, коли є здiйсненне в цей момент юридичне право на взаємозалiк визнаних сум, а також намiр здiйснити розрахунок на нетто-основi, або реалiзувати активи й одночасно з цим погасити зобов'язання. Результати  операцiй, якi не вiдносяться до основної дiяльностi Товариства, представляються шляхом взаємозалiку всiх доходiв та витрат, що виникають внаслiдок однiєї i тiєї ж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 торгiвля якими здiйснюється на активних ринках на кожну звiтну дату, визначається виходячи з ринкових котирувань або котирувань дилерiв (котирування на купiвлю для довгих позицiй i котирування на продаж для коротких позицiй), без вирахування витрат на здiйснення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фiнансових iнструментiв, що не котируються на активному ринку, справедлива вартiсть визначається шляхом застосування методик оцiнки. Такi методики можуть включати використання цiн нещодавно проведених операцiй на комерцiйнiй основi, використання поточної справедливої вартостi аналогiчних iнструментiв, аналiз дисконтованих грошових потокiв або iншi моделi оцiнки.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Припинення визнання фiнансових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основної дiяльностi керiвництво  застосовує професiйнi судження для того, щоб визначити, чи всi суттєвi ризики та вигоди, пов'язанi з володiнням  фiнансовими активами, передаються контрагентам, та щоб визначити, якi ризики та вигоди являються найбiльш суттєвими. Керiвництво Товариства оцiнюватиме зменшення корисностi фiнансових активiв по датi коли була отримана iнформацiя  про погiршення фiнансового стану клiєнта або боржника.  Товариство не проводило припинення визнання вiдносно наявних фiнансових активiв в звiтному роцi.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Знецiнення фiнансових активiв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застосовує професiйнi судження для того, щоб визначити, чи всi суттєвi ризики та вигоди, пов'язанi з володiнням  фiнансовими активами, передаються контрагентам, та щоб визначити, якi ризики та вигоди являються найбiльш суттєвими. Керiвництво Товариства оцiнює зменшення корисностi фiнансових активiв по датi коли була отримана iнформацiя  про погiршення фiнансового стану позичальника.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Бiльш детально данi про змiни у сумах простроченої заборгованостi та резервах наведенi в Примiтцi 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класифiкуються Товариством наступним чином: виробничi запаси, незавершене виробництво, готова продукцiя, товари.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Запаси оцiнюються за меншою з двох сум: собiвартiстю або чистою вартiстю реалiзацiї.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вартiсть реалiзацiї являє собою прогнозовану цiну реалiзацiї в ходi звичайної господарської дiяльностi за вирахуванням будь-яких очiкуваних майбутнiх витрат, пов'язаних з доведенням продукцiї до готовностi та її реалiзацiєю.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Вартiсть запасiв включає витрати, понесенi на придбання запасiв, доставку до мiсця їх знаходження i доведення до стану, необхiдного для їх використання або продажу. Зниження вартостi морально застарiлих запасiв i матерiалiв, якi повнiстю або частково втратили свою первiсну якiсть, а також запасiв i матерiалiв, поточна ринкова вартiсть яких знизилася, вiдображається як резерв пiд знецiнення запасiв i матерiалiв.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списаннi у виробництво чи iншому вибуттi Товариство оцiнює запаси за середньозваженою вартiстю. Оцiнка товарiв у роздрiбнiй торгiвлi здiйснюється по методу роздрiбних цiн.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Виручка за договорами з покупцями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Виручка по договорах з покупцями визнається, коли контроль над товарами або послугами передається покупцю в сумi, що вiдображає вiдшкодування, право на яке Пiдприємство очiкує отримати в обмiн на передачу товарiв або послуг покупцевi. Пiдприємство дiйшло висновку, що, як правило, воно виступає в якостi принципала в укладених ним угодах, що передбачають отримання виручки, оскiльки Пiдприємство контролює товари або послуги до їх передачi покупцевi.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Продаж товарiв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вiд продажу товарiв визнається, як правило, коли контроль, iстотнi ризики i вигоди вiд володiння товаром переходять до покупця.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Надання послуг</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вiд надання послуг визнається протягом перiоду. Для оцiнки ступеню завершеностi виконаних робiт Товариство використовує метод результатiв, в тому звiтному перiодi, коли були наданi послуги. Виручка визнається виходячи з обсягу послуг, фактично наданих до кiнця звiтного перiоду, пропорцiйно до загального обсягу послуг, що надаються.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договори включають кiлька обов'язкiв до виконання, цiна угоди розподiляється на кожен окремий обов'язок до виконання виходячи зi спiввiдношення цiн при їх окремому продажу. Якщо такi цiни не є такими, що спостерiгаються, вони розраховуються, виходячи з очiкуваних витрат плюс маржа.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Оцiнки виручки, витрат або обсягу виконаних робiт до повного виконання договору переглядаються в разi змiни обставин. Будь-яке збiльшення або зменшення розрахункових сум виручки або витрат, що виникає в зв'язку з цим, вiдображається у складi прибутку або збитку в тому перiодi, в якому керiвництву стало вiдомо про обставини, якi призвели до їх перегляду.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договорiв з фiксованою винагородою покупець сплачує фiксовану суму вiдповiдно до графiка платежiв. Якщо вартiсть послуг, наданих Товариством, перевищує суму платежу, виникає актив за договором з покупцем. Якщо сума платежiв перевищує вартiсть наданих послуг, визнається зобов'язання за договором з покупцем.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фiнансовий результат вiд договору не може бути достовiрно оцiнений, виручка визнається тiльки в межах суми понесених витрат, якi можуть бути вiдшкодованi.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Грошовими коштами визначаються високолiквiднi короткостроковi iнвестицiї, якi можуть бути замiненi на визначену суму грошових коштiв та мають термiн погашення три мiсяцi або менше з дати їх придбання. Вони облiковуються по вартостi придбання з урахуванням накопичених вiдсоткiв, що складає їх справедливу вартiсть.  Грошовi кошти на якi має мiсце обмеження щодо їх використання вiдображаються в облiку окремою статтею якщо їх сума виходить за межу суттєвостi.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включають готiвку, депозити за вимогою та iншi короткостроковi лiквiднi фiнансовi активи з первiсним термiном погашення до трьох мiсяцiв; вони вiдображаються за номiнальною вартiстю.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Забезпечення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Забезпечення визнаються, коли в результатi певної подiї в минулому Товариство має юридичнi або добровiльно взятi на себе зобов'язання, для врегулювання яких з великим ступенем iмовiрностi буде потрiбний вiдтiк ресурсiв, якi втiлюють у собi майбутнi економiчнi вигоди, i суму зобов'язання можна достовiрно оцiнити.  Забезпечення оцiнюються за поточною вартiстю, виходячи з найкращої оцiнки керiвництвом витрат, необхiдних для врегулювання поточних зобов'язань на кiнець звiтного перiоду.  Забезпечення переоцiнюються щорiчно. Змiни у забезпеченнях, що виникають з плином часу, вiдображаються у звiтi про фiнансовi результати щорiчно у складi iнших операцiйних доходiв та витрат. Iншi змiни у </w:t>
      </w:r>
      <w:r>
        <w:rPr>
          <w:rFonts w:ascii="Times New Roman CYR" w:hAnsi="Times New Roman CYR" w:cs="Times New Roman CYR"/>
          <w:sz w:val="24"/>
          <w:szCs w:val="24"/>
        </w:rPr>
        <w:lastRenderedPageBreak/>
        <w:t>забезпеченнях, пов'язанi зi змiною очiкуваного процесу врегулювання зобов'язань або орiєнтовної суми зобов'язання, або змiнами ставок дисконтування, вiдображаються як змiна облiкової оцiнки у перiодi, коли такi змiни вiдбулись, за винятком зобов'язань з вибуття активiв, що вiдображаються у звiтi про фiнансовi результати.  Якщо Товариство планує одержати вiдшкодування забезпечення, наприклад, за договором страхування, вiдшкодування визнається як окремий актив, але тiльки у тому випадку, коли одержання вiдшкодування не пiдлягає сумнiву.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Пенсiї та iншi винагороди по закiнченнi трудової дiяльностi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встановленi вiдрахування до Державного пенсiйного фонду України за ставками, чинними протягом року, виходячи з нарахованої заробiтної плати працiвникiв. Цi вiдрахування вiдображаються як витрати в звiтному перiодi, до якого вiдноситься вiдповiдна заробiтна плата.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того, Товариство має юридичнi зобов'язання компенсувати Державному пенсiйному фонду України суми додаткових пенсiйних виплат певним категорiям чинних i колишнiх спiвробiтникiв Товариства. Данi зобов'язання є незабезпеченими i в основному подiбнi до тих, якi iснують для незабезпечених планiв з встановленою виплатою. Витрати, пов'язанi з даним планом, визнаються у фiнансовiй звiтностi за методом нарахування прогнозованих одиниць для працiвникiв, якi мають право на отримання такої пенсiї. Сума майбутнiх виплат пенсiї робiтникам за списком № 1 i № 2 на дату фiнансової звiтностi враховується пiдприємством як резерв на виплати за пенсiйними зобов'язаннями вiдповiдно до вимог МСФО (IAS) 37 "Резерви, умовнi зобов'язання, умовнi активи". Розрахунок заборгованостi, пов'язаної з даними пенсiйними зобов'язаннями, мають застосовуватися з використанням актуарних методiв на кожну звiтну дату. Фактичнi результати можуть вiдрiзнятися вiд вiдповiдних оцiнок на певну дату.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Вiйськова агресiя росiйської федерацiї проти України значно впливає на вiдсотковi ставки, очiкуваний рiвень iнфляцiї i вартiсть активiв, що може викликати необхiднiсть переоцiнки активiв i зобов'язань пенсiйних програм з визначеною виплатою. Поточнi умови, найiмовiрнiше, продовжать впливати на вартiсть активiв i зобов'язань програми, що призведе до потенцiйної волатильностi суми визнаного чистого профiциту/дефiциту пенсiйної програми з визначеною виплатою. Пiдприємство при визначеннi ставки дисконтування використовувало справедливу вартiсть облiгацiй внутрiшнiх державних позик України за винятком цiнних паперiв менше року i тi що номiнованi в доларах та євро.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оцiнює чи є договiр орендою, або чи мiстить вiн оренду, на початку дiї договору. Договiр є орендним або мiстить оренду, якщо вiн передає право контролювати використання iдентифiкованого активу протягом певного перiоду часу в обмiн на компенсацiю.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змiни в договорi умов оренди Товариство проводить повторну оцiнку договору.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дату початку оренди Пiдприємство як орендар визнає актив у формi права користування та зобов'язання по орендi. Пiдприємством передбачається два винятки вiд визнання - щодо оренди активiв з низькою вартiстю i короткострокової оренди. За договорами з такими активами оренднi активи i зобов'язання не визнаються. Витрати вiдносяться на виробничi, адмiнiстративнi або збутовi вiдповiдно до цiльового використання базових активiв Пiдприємством у мiру нарахування поточних платежiв до оплати. Пiдприємство визнає оренднi платежi, пов'язанi з цiєю орендою, як витрати лiнiйним методом протягом термiну оренди, або з використанням iншого систематичного пiдходу, який краще вiдображає структуру отримання вигод.</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Первинна оцiнка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на дату початку оренди оцiнює i визнає на балансi актив формi права користування за первiсною вартiстю, яка включає: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величину первiсної оцiнки зобов'язання з оренди;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оренднi платежi на дату початку оренди або до такої дати за вирахуванням отриманих стимулюючих платежiв по орендi;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будь-якi початковi прямi витрати;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w:t>
      </w:r>
      <w:r>
        <w:rPr>
          <w:rFonts w:ascii="Times New Roman CYR" w:hAnsi="Times New Roman CYR" w:cs="Times New Roman CYR"/>
          <w:sz w:val="24"/>
          <w:szCs w:val="24"/>
        </w:rPr>
        <w:tab/>
        <w:t>оцiнку витрат, якi будуть понесенi пiдприємством при демонтажi i перемiщеннi базового активу, вiдновленнi дiлянки, на якому вiн розташовується, або вiдновленнi базового активу до стану, яке вимагається згiдно з умовами оренди.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Орендне право орендар враховує як право користування майном вiдповiдно до МСБО (IAS) 41 "Нематерiальнi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Первинна оцiнка зобов'язань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початку оренди оренднi платежi, якi включаються в оцiнку зобов'язань з оренди, складаються з наступних платежiв за право користування базовим активом протягом термiну оренди, якi не здiйснено на дату початку оренди: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фiксованих платежiв за вирахуванням будь-яких стимулюючих платежiв по орендi до отримання;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змiннi оренднi платежi, якi залежать вiд iндексу або ставки, спочатку оцiнюються з використанням iндексу або ставки на дату оренди;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суми гарантованої лiквiдацiйної вартостi;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договорами оренди передбачено iндексацiю на iндекс iнфляцiї, Пiдприємство враховує цей фактор при обчисленнi поточної вартостi орендних зобов'язань iз застосуванням умовного iндексу iнфляцiї, i виробляє перерахунок в останнiй день року, за який проводиться iндексацiя, як модифiкацiю договору.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Подальша оцiнка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дати початку оренди Пiдприємство оцiнює актив у формi права користування iз застосуванням моделi облiку за первiсною вартiстю за вирахуванням накопиченої амортизацiї та накопичених збиткiв вiд знецiнення.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активу в формi права користування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активу в формi права користування визнається вiдповiдно до вимог дiючих стандартiв, якi застосовуються у вiдношеннi основних засобiв. Для амортизацiї активу в формi права користування Пiдприємство застосовує лiнiйний метод впродовж коротшого з таких перiодiв: строку оренди або строку корисного використання активу в формi права користування.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Подальша оцiнка зобов'язань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пiсля дати початку оренди оцiнює розрахунки по орендi наступним чином: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збiльшуючи балансову вартiсть для вiдображення вiдсоткiв по зобов'язанню з оренди;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зменшуючи балансову вартiсть для вiдображення орендних платежiв;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переоцiнюючи балансову вартiсть для вiдображення переоцiнки або модифiкацiї договорiв оренди, або для вiдображення переглянутих по сутi фiксованих орендних платежiв.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Вiдсотки за зобов'язанням по орендi в кожному перiодi протягом термiну оренди визнаються в сумi, яка розраховується з незмiнною перiодичної вiдсоткової ставки на залишок зобов'язань з оренди. Пiсля початку оренди Пiдприємство визнає у фiнансових витратах (за винятком випадкiв, коли витрати включаються до балансової вартостi iншого активу з використанням iнших чинних стандартiв) вiдсотки за зобов'язанням по орендi, а змiннi оренднi платежi, не включенi в оцiнку зобов'язання по орендi - в собiвартостi, адмiнiстративних або збутових витратах в залежностi вiд цiльового використання активу аналогiчно з витратами по амортизацiї активу з права користування. Витрати по змiнним платежах визнаються в перiодi, в якому настає подiя або умова, що призводить до здiйснення таких платежiв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з охорони навколишнього середовища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заходiв iз дотримання природоохоронного законодавства в Українi знаходиться на етапi розвитку, i позицiя органiв влади щодо його виконання постiйно переглядається. У випадку виникнення зобов'язань, вони визнаються у фiнансовiй звiтностi у тому перiодi, в якому вони виникли. Потенцiйнi зобов'язання, якi можуть виникнути внаслiдок змiни чинних норм та законодавства, а також судових процесiв, не пiддаються оцiнцi, проте можуть мати суттєвий вплив. За iснуючого порядку, який забезпечує дотримання вимог чинного законодавства, керiвництво вважає, що суттєвих зобов'язань внаслiдок забруднення навколишнього середовища не iснує.</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Доходи та витрати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та витрати визнаються за методом нарахування. Витрати, понесенi у зв'язку з отриманням доходу, вiдносяться до того перiоду, в якому вони були здiйсненi. Доходи i витрати визнаються за кожним видом дiяльностi - операцiйної, iнвестицiйної, фiнансової.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Критерiї визнання доходу i витрат застосовуються окремо до кожної операцiї.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Кожний вид доходу i витрат вiдображається в бухгалтерському облiку окремо.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облiковує доходи та витрати вiдповiдно до таких принципiв: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доходи та витрати облiковуються у перiод, до якого вони належать;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отриманi доходи, якi належать до майбутнiх перiодiв, облiковуються як вiдстроченi доходи;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здiйсненi витрати та платежi, якi належать до майбутнiх перiодiв, облiковуються як вiдстроченi витрати;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Визнанi доходи i витрати групуються за їх характером за вiдповiдними статтями у звiтi про прибутки i збитки та iнший сукупний дохiд.</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надання послуг визнаються, коли: сума доходiв може бути достовiрно визначена; iснує ймовiрнiсть того, що економiчнi вигоди, пов'язанi з операцiєю, надiйдуть пiдприємству i понесенi або очiкуванi витрати, пов'язанi з операцiєю, можуть бути достовiрно визначенi. Якщо дохiд вiд надання послуг не може бути достовiрно оцiнений, то вiн визнається та вiдображається в бухгалтерському облiку в розмiрi здiйснених витрат що пiдлягають вiдшкодуванню.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Бухгалтерський (фiнансовий) облiк нарахованих доходiв i витрат здiйснюється не рiдше одного разу на мiсяць за кожною операцiєю (договором) окремо.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Дозволяється вiдображати отриманi (сплаченi) на дату балансу доходи (витрати), безпосередньо за рахунками доходiв i витрат.</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визнаються в бухгалтерському облiку в сумi справедливої вартостi активiв, якi отриманi або пiдлягають отриманню.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Доходи вiд реалiзацiї визнаються у розмiрi справедливої вартостi винагороди, отриманої або яка пiдлягає отриманню,i являють собою суми до отримання за роботи та послуги, наданi входi звичайної господарської дiяльностi, за вирахуванням повернень покупцями, знижок.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Правила взаємозалiку доходiв i витрат / активiв i зобов'язань.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i витрати Товариства представляються у фiнансовiй звiтностi окремо i пiдлягають взаємозалiку тiльки в таких випадках, коли iснує юридично визначене правило взаємозалiку визнаних сум.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Результати операцiй, якi не вiдносяться до основної дiяльностi Товариства, представляються шляхом взаємозалiку всiх доходiв та витрат, що виникають внаслiдок однiєї i тiєї ж операцiї. Крiм того, доходи i витрати, що виникають по групi аналогiчних операцiй, представляються у звiтах на нетто-основi. Тим не менш, такi доходи i витрати, якщо вони iстотнi, розкриваються окремо в примiтках до фiнансової звiтностi. Результатом взаємозалiку доходiв i витрат є виникнення прибуткiв або збиткiв.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доходи i витрати по яких пiдлягають взаємозалiку: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продаж основних засобiв;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реалiзацiя iнших робiт та послуг;</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реалiзацiя виробничих запасiв;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операцiйнi курсовi рiзницi;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реалiзацiя валюти;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операцiї з лiквiдацiї ОЗ.</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Податок на прибуток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Поточний податок на прибуток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Податки на прибуток вiдображенi у фiнансовiй звiтностi вiдповiдно до законодавства, яке було чинним або практично набуло чинностi станом на </w:t>
      </w:r>
      <w:r>
        <w:rPr>
          <w:rFonts w:ascii="Times New Roman CYR" w:hAnsi="Times New Roman CYR" w:cs="Times New Roman CYR"/>
          <w:sz w:val="24"/>
          <w:szCs w:val="24"/>
        </w:rPr>
        <w:lastRenderedPageBreak/>
        <w:t>кiнець звiтного перiоду. Поточнi податковi активи та зобов'язання за поточний i попереднiй перiоди оцiнюються Товариством в сумi, обчисленiй до сплати податковим органам (вiдшкодуванню вiд податкових органiв, у яких Товариство зареєстрована). Нарахування поточного податку на прибуток здiйснюється на основi податкових ставок та податкового законодавства, якi набули чинностi на кiнець звiтного перiоду. Витрати з поточного податку на прибуток розраховуються на основi оподатковуваного прибутку, визначеного згiдно з вимогами податкового законодавства України, з використанням таких податкових ставок.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Поточний податок на прибуток, за наявностi, що стосується статей, якi вiдображаються безпосередньо у капiталi, визнається у складi капiталу.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Вiдстрочений податок на прибуток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на прибуток розраховується за методом зобов'язань шляхом визначення тимчасових рiзниць на кiнець звiтного перiоду мiж податковою базою активiв i зобов'язань i їх балансовою вартiстю для цiлей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зобов'язання визнаються за всiма оподатковуваними тимчасовими рiзницями, крiм випадкiв, коли: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вiдстрочене податкове зобов'язання виникає в результатi первiсного визнання гудвiла, активу або зобов'язання, в ходi угоди, що не є об'єднанням бiзнесу, i на момент здiйснення операцiї не впливає нi на бухгалтерський прибуток, нi на оподатковуваний прибуток або збиток.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з податку на прибуток визнаються за всiма тимчасовими рiзницями, що пiдлягають вирахуванню, невикористаними податковими пiльгами i невикористаними податковими збитками, у тiй мiрi, в якiй iснує значна iмовiрнiсть того, що буде iснувати оподатковуваний прибуток, проти якого можуть бути зарахованi тимчасовi рiзницi, що пiдлягають вирахуванню, невикористанi податковi пiльги й невикористанi податковi збитки, крiм випадкiв, коли: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вiдстрочений актив з податку на прибуток, що вiдноситься до тимчасової рiзницi, що пiдлягає вирахуванню, виникає в результатi первiсного визнання активу або зобов'язання, яке виникло не внаслiдок об'єднання бiзнесу i яке на момент здiйснення операцiї не впливає нi на бухгалтерський прибуток, нi на оподатковуваний прибуток або збиток.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 вiдстрочених податкових активiв переглядається на кiнець кожного звiтного перiоду й знижується в тiй мiрi, в якiй отримання достатнього оподатковуваного прибутку, який дозволить використовувати всi або частину вiдстрочених податкових активiв, оцiнюється як малоймовiрне.  Невизнанi вiдстроченi податковi активи переглядаються на кiнець кожного звiтного перiоду й визнаються в тiй мiрi, в якiй з'являється значна ймовiрнiсть того, що майбутнiй оподатковуваний прибуток дозволить використовувати вiдстроченi податковi активи.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й зобов'язання визначаються за ставками податку, якi застосовуватимуться протягом перiоду реалiзацiї активу або врегулювання зобов'язання на пiдставi ставок податку (та податкового законодавства), якi набули або фактично набули чинностi на кiнець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активи й вiдстроченi податковi зобов'язання залiковуються один проти одного, якщо є юридично закрiплене право залiку поточних податкових активiв i зобов'язань, i вiдстроченi податки вiдносяться до однiєї й тiєї ж оподатковуваної компанiї й податкового органу.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воєнною агресiєю можливе порушення дiяльностi пiдприємства, яке може привести до визнання органiзацiєю знецiнення активiв або прогнозування майбутнiх збиткiв.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враховувало при розрахунку суму вiдстрочених активiв. На думку пiдприємства на таке врахування фактори невизначеностi, щодо вiдшкодування вiдкладених податкових активiв, не впливають. Проте пiдприємство буде переглядати такi прогнози щодо доходiв з урахуванням недавнiх подiй.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Податок на додану вартiсть.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ПДВ стягується за двома ставками: 20% при продажу на внутрiшньому ринку та iмпортi товарiв, робiт чи послуг та 0% при експортi товарiв чи наданнi послуг. Зобов'язання платника ПДВ дорiвнює загальнiй сумi ПДВ, акумульованiй за звiтний перiод, i виникає на дату вiдвантаження товарiв клiєнту чи на дату отримання оплати вiд клiєнта, залежно вiд того, що вiдбувається ранiше. Кредит з ПДВ - це сума, на яку платник податку має право зменшити свої зобов'язання з ПДВ за звiтний перiод.</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Право на кредит з ПДВ виникає у момент реєстрацiї в ЄРПН податкової накладної/розрахунку коригування з ПДВ. ПДВ, який стосується продажiв та закупiвель, визнається у балансi згорнуто i показується як актив або зобов'язання в сумi, вiдображенiй у декларацiях з ПДВ. В iнших випадках ПДВ вiдображається розгорнуто. Виручка, витрати й активи визнаються за вирахуванням суми податку на додану вартiсть, крiм випадкiв, коли: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податок на додану вартiсть, що виник з купiвлi активiв або послуг, не вiдшкодовується податковим органом; у цьому випадку податок на додану вартiсть визнається вiдповiдно як частина витрат на придбання активу або частина статтi витрат;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дебiторська i кредиторська заборгованостi вiдображаються з урахуванням суми податку на додану вартiсть, крiм авансiв виданих та авансiв отриманих, що вiдображенi за вирахуванням вiдповiдних сум ПДВ.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пiсля звiтного перiоду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пiсля закiнчення звiтного перiоду, що надають додаткову iнформацiю про фiнансовий стан Товариства на кiнець звiтного перiоду (коригуючи подiї), вiдображаються у фiнансовiй звiтностi.  Подiї пiсля закiнчення звiтного перiоду, якi не є коригуючими подiями, вiдображаються у Примiтках до фiнансової звiтностi, якщо вони є суттєвими.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2.6. Використання нових або переглянутих стандартiв та роз'яснень</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Прийнята облiкова полiтика Товариством в перiод пiдготовки фiнансової звiтностi вiдповiдає облiковiй полiтицi, що застосовувалася при пiдготовцi рiчної фiнансової звiтностi за рiк, що закiнчився 31 грудня 2022р. Товариство  не застосувала достроково будь-який iнший стандарт, iнтерпретацiї або поправки, якi були випущеннi, але ще не вступили в силу.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характер i вплив цих змiн розкрита нижче. Хоча Товариство вперше застосувала цi новi стандарти та поправки в 2024 роцi, вони не мають iстотного впливу на рiчну фiнансову звiтнiсть Товариства.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якi прийнятi, але ще не набули чинностi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МСФЗ, який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МСБО 1 "Подання фiнансової звiтностi"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того, чи проводяться змiни в облiковiй полiтицi згiдно з перехiдними положеннями МСФЗ, що застосовуються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облiкової полiтики, що застосована для пiдготовки i подання фiнансової звiтностi за 2023 рiк, змiни щодо класифiкацiї зобов'язань як поточнi або непоточнi та новi вимоги щодо подання непоточних зобов'язань iз спецiальними умовами не вносилися.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характеру змiни в облiковiй полiтицi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Поправка змiщує акцент з очiкування та намiру суб'єкта господарювання рефiнансувати або вiдстрочити зобов'язання на бiльш об'єктивний критерiй - чи має суб'єкт господарювання право зробити це на кiнець звiтного перiоду.  Змiнений параграф роз'яснює, що можливiсть рефiнансування не розглядається, якщо на кiнець звiтного перiоду не iснує права вiдстрочити платiж за iснуючою кредитною угодою.  Змiни роблять оцiнку бiльш об'єктивною, оскiльки вона менше залежить вiд намiрiв суб'єкта господарювання, а бiльше вiд його фактичних прав та угод, що дiють на кiнець звiтного перiоду. Поправки вимагають додаткового аналiзу виконання спецiальних умов кредитних угод з метою класифiкацiї зобов'язань, а також висувають додатковi вимоги щодо розкриття iнформацiї про такi кредитнi угоди.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 "Класифiкацiя зобов'язань як поточнi або непоточнi", випущений у сiчнi 2020 року, застосовується для рiчних звiтних перiодiв, що починаються 1 сiчня 2024 року або пiзнiше, ретроспективно вiдповiдно до МСБО 8. Якщо цi змiни застосовуються до бiльш раннього перiоду пiсля випуску документа "Непоточнi зобов'язання iз спецiальними умовами", також застосовується документ "Непоточнi зобов'язання iз спецiальними умовами" для такого перiоду. Документ "Непоточнi зобов'язання iз спецiальними умовами", випущений у жовтнi 2022 року, застосовується для рiчних звiтних перiодiв, що починаються 1 сiчня 2024 року або пiзнiше, ретроспективно вiдповiдно до МСБО 8</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Опис перехiдних положень МСФЗ, що застосовується вперше, якi можуть мати вплив на майбутнi перiоди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перехiднi положення можуть мати вплив на майбутнi звiтнi перiоди, якщо компанiя матиме поточнi i непоточнi зобов'язання, у тому числi зi спецiальними умовами (ковенантами)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факту раннього застосування нового або змiненого Стандарту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Компанiя не застосувала змiни щодо класифiкацiї зобов'язань як поточнi або непоточнi та новi вимоги щодо подання непоточних зобов'язань iз спецiальними умовами у фiнансовiй звiтностi за 2023 рiк.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МСФЗ, який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16 "Оренда"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того, чи проводяться змiни в облiковiй полiтицi згiдно з перехiдними положеннями МСФЗ, що застосовуються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облiкової полiтики, що застосована для пiдготовки i подання фiнансової звiтностi за 2023 рiк, доповнення щодо операцiй продажу i зворотної оренди не вносилися.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характеру змiни в облiковiй полiтицi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Пiсля дати початку оренди в операцiї продажу з подальшою орендою продавець-орендар застосовує параграфи 29-35 МСФЗ 16 до активу в правi користування, що виникає в результатi зворотної оренди, та параграфи 36-46 МСФЗ 16 до орендного зобов'язання, що виникає в результатi зворотної оренди. Застосовуючи параграфи 36-46, продавець-орендар визначає "оренднi платежi" або "переглянутi оренднi платежi" таким чином, щоб продавець-орендар не визнавав жодної суми прибутку або збитку, що вiдноситься до права користування, збереженого продавцем-орендарем. Застосування цих вимог не перешкоджає продавцю-орендарю визнавати у складi прибутку або збитку будь-який прибуток або збиток, пов'язаний з частковим або повним припиненням оренди, як того вимагає параграф 46(а) МСФЗ (IFRS) 16. Поправка не встановлює конкретних вимог до оцiнки зобов'язань з оренди, що виникають при зворотнiй орендi. Первiсна оцiнка зобов'язання з оренди що виникає в результатi зворотної оренди, може призвести до того, що продавець-орендар визначатиме "оренднi платежi якi вiдрiзняються вiд загального визначення орендних платежiв у Додатку А до МСФЗ (IFRS) 16. Продавець-орендар повинен буде розробити та застосовувати облiкову полiтику яка забезпечує доречну та достовiрну iнформацiю вiдповiдно до МСБО 8 "Облiковi полiтики, змiни в облiкових оцiнках та помилки".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 "Орендне зобов'язання в операцiях продажу та зворотної оренди", випущений у вереснi 2022 року, орендар-продавець застосовує до рiчних звiтних перiодiв, що починаються 1 сiчня 2024 року або пiзнiше. Дострокове застосування дозволяється. Продавець-орендар застосовує поправку ретроспективно вiдповiдно до вiдповiдно до МСФЗ (IAS) 8 до операцiй з продажу та зворотної оренди укладених пiсля дати першого застосування (тобто поправка не застосовується до операцiй продажу i зворотної оренди укладених до дати першого застосування). Датою первiсного застосування є початок рiчного звiтного перiоду в якому органiзацiя вперше застосувала МСФЗ (IFRS) 16.</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 якi можуть мати вплив на майбутнi перiоди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перехiднi положення можуть мати вплив на майбутнi звiтнi перiоди, якщо компанiя здiйснюватиме операцiї продажу зi зворотною орендою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факту раннього застосування нового або змiненого Стандарту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не застосувала змiни щодо класифiкацiї зобов'язань як поточнi або непоточнi та новi вимоги щодо операцiй з продажу зi зворотною орендою у фiнансовiй звiтностi за 2023 рiк.</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МСФЗ, який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МСБО 7 "Звiт про рух грошових коштiв", МСФЗ 7 "Фiнансовi iнструменти: розкриття iнформацiї"</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того, чи проводяться змiни в облiковiй полiтицi згiдно з перехiдними положеннями МСФЗ, що застосовуються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До облiкової полiтики, що застосована для пiдготовки i подання фiнансової звiтностi за 2023 рiк, доповнення щодо угод про фiнансування постачальникiв не вносилися.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характеру змiни в облiковiй полiтицi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Поправки уточнюють вимоги до розкриття iнформацiї з метою посилення чинних вимог, якi покликанi допомогти користувачам фiнансової звiтностi зрозумiти вплив фiнансових угод з постачальниками на зобов'язання, грошовi потоки та схильнiсть до ризику лiквiдностi. Поправки роз'яснюють характеристики угод про фiнансування постачальникiв. За цими угодами один або декiлька постачальникiв фiнансових послуг сплачують суми, якi органiзацiя заборгувала своїм постачальникам. При цьому органiзацiя погоджується погасити цi суми постачальникам фiнансування вiдповiдно до умов та положень угод, або на ту саму дату, або на пiзнiшу дату, нiж та, на яку фiнансовi постачальники розраховуються з постачальниками суб'єкта господарювання. Поправки вимагають, щоб органiзацiя надавала iнформацiю про вплив угод про фiнансування постачальникiв на зобов'язання та грошовi потоки, включаючи строки та умови таких угод, кiлькiсну iнформацiю про зобов'язання угод, кiлькiсну iнформацiю про зобов'язання, пов'язанi з цими угодами пов'язаних з цими угодами, на початок i кiнець звiтного перiоду, а також тип i вплив негрошових змiн у балансової вартостi цих угод. Iнформацiя про такi угоди має бути агрегована, за винятком випадкiв, коли окремi угоди мають вiдмiннi або унiкальнi умови та умови. У контекстi кiлькiсного ризику лiквiдностi розкриття iнформацiї, що вимагається МСФЗ 7, угоди про фiнансування постачальникiв включенi як приклад iнших факторiв, якi можуть бути доречно розкрити.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Поправки набувають чинностi для рiчних звiтних перiодiв що починаються 1 сiчня 2024 року або пiсля цiєї дати. Дострокове застосування дозволяється, але необхiдно буде розкрити iнформацiю про це. Поправки надають деякi перехiднi пiльги щодо порiвняльної та кiлькiсної iнформацiї на початок рiчного звiтного перiоду та промiжних розкриттях.</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 якi можуть мати вплив на майбутнi перiоди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перехiднi положення можуть мати вплив на майбутнi звiтнi перiоди, якщо компанiя використовуватиме в своїй дiяльностi угоди фiнансування постачальникiв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факту раннього застосування нового або змiненого Стандарту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не застосувала змiни щодо розкриття iнформацiї про угоди фiнансування постачальникiв у фiнансовiй звiтностi за 2023 рiк.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МСФЗ, який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МСБО 21 "Вплив змiн валютних курсiв"</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того, чи проводяться змiни в облiковiй полiтицi згiдно з перехiдними положеннями МСФЗ, що застосовуються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облiкової полiтики, що застосована для пiдготовки i подання фiнансової звiтностi за 2023 рiк, доповнення щодо вiдсутностi можливостi обмiну валют не вносилися.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характеру змiни в облiковiй полiтицi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Поправка до МСБО 21 роз'яснює, як суб'єкт господарювання повинен оцiнювати, чи є валюта конвертованою, i як вiн повинен визначати спот-курс обмiну, якщо конвертованiсть вiдсутня. Валюта вважається конвертованою в iншу валюту, якщо суб'єкт господарювання може отримати iншу валюту протягом перiоду часу, що враховує звичайну адмiнiстративну затримку, а також за допомогою ринкового або бiржового механiзму, при якому операцiя обмiну створює юридично забезпеченi права та зобов'язання. Якщо валюту не можна обмiняти на iншу валюту, суб'єкт господарювання повинен оцiнити спот-курс обмiну на дату оцiнки. Метою суб'єкта господарювання при оцiнцi спот-курсу обмiну є вiдображення курсу, за яким на дату оцiнки вiдбулася б звичайна операцiя обмiну мiж учасниками ринку за переважаючих економiчних умов. Поправки зазначають, що суб'єкт господарювання може використовувати спостережуваний обмiнний курс без коригування або iншого методу оцiнки.  Якщо суб'єкт господарювання оцiнює спот-курс, оскiльки одна валюта не обмiнюється на iншу валюту, вiн розкриває iнформацiю, яка дає змогу користувачам фiнансової звiтностi зрозумiти, як ця валюта, що не обмiнюється на iншу валюту, впливає або, як очiкується, вплине на фiнансовi результати дiяльностi, фiнансовий стан i грошовi потоки суб'єкта господарювання.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Опис перехiдних положень МСФЗ, що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Поправки набувають чинностi для рiчних звiтних перiодiв, що починаються 1 сiчня 2025 року або пiсля цiєї дати. Дострокове застосування дозволяється, але необхiдно буде розкрити iнформацiю про це. При застосуваннi поправок органiзацiя не повинна перераховувати порiвняльну iнформацiю.</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 якi можуть мати вплив на майбутнi перiоди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перехiднi положення можуть мати вплив на майбутнi звiтнi перiоди, якщо компанiя використовуватиме в своїй дiяльностi валюту з вiдсутнiстю обмiну</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факту раннього застосування нового або змiненого Стандарту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не застосувала змiни щодо вiдсутностi можливостi обмiну валюти у фiнансовiй звiтностi за 2023 рiк.</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МСФЗ, який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10 "Консолiдована фiнансова звiтнiсть" та МСБО 28 "Iнвестицiї в асоцiйованi та спiльнi пiдприємства"</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того, чи проводяться змiни в облiковiй полiтицi згiдно з перехiдними положеннями МСФЗ, що застосовуються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облiкової полiтики, що застосована для пiдготовки i подання фiнансової звiтностi за 2023 рiк, доповнення щодо продажу або внеску активiв мiж iнвестором та його асоцiйованим або спiльним пiдприємством не вносилися.</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характеру змiни в облiковiй полiтицi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Поправки вирiшують конфлiкт мiж МСФЗ (IFRS) 10 "Консолiдована фiнансова звiтнiсть" та МСБО (IAS) 28 "Iнвестицiї в асоцiйованi та спiльнi пiдприємства" в частинi, що стосується втрати контролю над дочiрньою компанiєю, яка продається або вноситься в асоцiйовану компанiю або спiльне пiдприємство. Поправки роз'яснюють, що прибуток або збиток визнається в повному обсязi, якщо передача асоцiйованiй компанiї або спiльному пiдприємству стосується бiзнесу, як визначено в МСФЗ (IFRS) 3 "Об'єднання бiзнесу". Прибуток або збиток вiд продажу або внеску активiв, якi не є бiзнесом, визнається лише в межах часток непов'язаних iнвесторiв в асоцiйованому або спiльному пiдприємствi.</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груднi 2015 року Рада з МСФЗ вирiшила вiдкласти дату набуття чинностi поправок до того часу, поки вона не завершить роботу над будь-якими поправками, що є результатом її дослiдницького проекту щодо методу участi в капiталi. Дострокове застосування поправок, як i ранiше, дозволяється. Поправки повиннi застосовуватися перспективно.</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перехiдних положень МСФЗ, що застосовується вперше, якi можуть мати вплив на майбутнi перiоди</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перехiднi положення можуть мати вплив на майбутнi звiтнi перiоди, якщо компанiя здiйснюватиме в своїй дiяльностi продаж або внески активiв мiж iнвестором та його асоцiйованим або спiльним пiдприємством</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факту раннього застосування нового або змiненого Стандарту МСФЗ</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не застосувала змiни щодо продажу або внеску активiв мiж iнвестором та його асоцiйованим або спiльним пiдприємством у фiнансовiй звiтностi за 2023 рiк.</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пiдготовцi фiнансової звiтностi за звiтний перiод застосовуються всi стандарти та правки, чиннi в звiтному перiодi. </w:t>
      </w: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Стандарти, якi прийнятi, але ще не набули чинностi, за рiшенням керiвництва Товариства - не застосовуються достроково. Вплив застосування цих стандартiв на фiнансову звiтнiсть за майбутнi перiоди в даний час оцiнюються керiвництвом. Товариство не очiкує, що вплив таких змiн на фiнансову звiтнiсть буде суттєвим.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Доходи i витрати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Виручка за договорами з покупцями: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w:t>
      </w:r>
      <w:r>
        <w:rPr>
          <w:rFonts w:ascii="Times New Roman CYR" w:hAnsi="Times New Roman CYR" w:cs="Times New Roman CYR"/>
          <w:sz w:val="24"/>
          <w:szCs w:val="24"/>
        </w:rPr>
        <w:tab/>
      </w:r>
      <w:r>
        <w:rPr>
          <w:rFonts w:ascii="Times New Roman CYR" w:hAnsi="Times New Roman CYR" w:cs="Times New Roman CYR"/>
          <w:sz w:val="24"/>
          <w:szCs w:val="24"/>
        </w:rPr>
        <w:tab/>
        <w:t>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Реалiзацiя: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Флюси зварювальнi</w:t>
      </w:r>
      <w:r>
        <w:rPr>
          <w:rFonts w:ascii="Times New Roman CYR" w:hAnsi="Times New Roman CYR" w:cs="Times New Roman CYR"/>
          <w:sz w:val="24"/>
          <w:szCs w:val="24"/>
        </w:rPr>
        <w:tab/>
        <w:t>24 972</w:t>
      </w:r>
      <w:r>
        <w:rPr>
          <w:rFonts w:ascii="Times New Roman CYR" w:hAnsi="Times New Roman CYR" w:cs="Times New Roman CYR"/>
          <w:sz w:val="24"/>
          <w:szCs w:val="24"/>
        </w:rPr>
        <w:tab/>
      </w:r>
      <w:r>
        <w:rPr>
          <w:rFonts w:ascii="Times New Roman CYR" w:hAnsi="Times New Roman CYR" w:cs="Times New Roman CYR"/>
          <w:sz w:val="24"/>
          <w:szCs w:val="24"/>
        </w:rPr>
        <w:tab/>
        <w:t>26 961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т.ч. експорт</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r>
      <w:r>
        <w:rPr>
          <w:rFonts w:ascii="Times New Roman CYR" w:hAnsi="Times New Roman CYR" w:cs="Times New Roman CYR"/>
          <w:sz w:val="24"/>
          <w:szCs w:val="24"/>
        </w:rPr>
        <w:tab/>
        <w:t>5 512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ринок</w:t>
      </w:r>
      <w:r>
        <w:rPr>
          <w:rFonts w:ascii="Times New Roman CYR" w:hAnsi="Times New Roman CYR" w:cs="Times New Roman CYR"/>
          <w:sz w:val="24"/>
          <w:szCs w:val="24"/>
        </w:rPr>
        <w:tab/>
        <w:t xml:space="preserve">                24 972</w:t>
      </w:r>
      <w:r>
        <w:rPr>
          <w:rFonts w:ascii="Times New Roman CYR" w:hAnsi="Times New Roman CYR" w:cs="Times New Roman CYR"/>
          <w:sz w:val="24"/>
          <w:szCs w:val="24"/>
        </w:rPr>
        <w:tab/>
      </w:r>
      <w:r>
        <w:rPr>
          <w:rFonts w:ascii="Times New Roman CYR" w:hAnsi="Times New Roman CYR" w:cs="Times New Roman CYR"/>
          <w:sz w:val="24"/>
          <w:szCs w:val="24"/>
        </w:rPr>
        <w:tab/>
        <w:t>21 449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Силiкат натрiю розчинний</w:t>
      </w:r>
      <w:r>
        <w:rPr>
          <w:rFonts w:ascii="Times New Roman CYR" w:hAnsi="Times New Roman CYR" w:cs="Times New Roman CYR"/>
          <w:sz w:val="24"/>
          <w:szCs w:val="24"/>
        </w:rPr>
        <w:tab/>
        <w:t>27 659</w:t>
      </w:r>
      <w:r>
        <w:rPr>
          <w:rFonts w:ascii="Times New Roman CYR" w:hAnsi="Times New Roman CYR" w:cs="Times New Roman CYR"/>
          <w:sz w:val="24"/>
          <w:szCs w:val="24"/>
        </w:rPr>
        <w:tab/>
      </w:r>
      <w:r>
        <w:rPr>
          <w:rFonts w:ascii="Times New Roman CYR" w:hAnsi="Times New Roman CYR" w:cs="Times New Roman CYR"/>
          <w:sz w:val="24"/>
          <w:szCs w:val="24"/>
        </w:rPr>
        <w:tab/>
        <w:t>47 885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т.ч. експорт</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 xml:space="preserve">                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ринок</w:t>
      </w:r>
      <w:r>
        <w:rPr>
          <w:rFonts w:ascii="Times New Roman CYR" w:hAnsi="Times New Roman CYR" w:cs="Times New Roman CYR"/>
          <w:sz w:val="24"/>
          <w:szCs w:val="24"/>
        </w:rPr>
        <w:tab/>
        <w:t xml:space="preserve">                 27 659</w:t>
      </w:r>
      <w:r>
        <w:rPr>
          <w:rFonts w:ascii="Times New Roman CYR" w:hAnsi="Times New Roman CYR" w:cs="Times New Roman CYR"/>
          <w:sz w:val="24"/>
          <w:szCs w:val="24"/>
        </w:rPr>
        <w:tab/>
      </w:r>
      <w:r>
        <w:rPr>
          <w:rFonts w:ascii="Times New Roman CYR" w:hAnsi="Times New Roman CYR" w:cs="Times New Roman CYR"/>
          <w:sz w:val="24"/>
          <w:szCs w:val="24"/>
        </w:rPr>
        <w:tab/>
        <w:t>47 885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Скло натрiєве рiдке</w:t>
      </w:r>
      <w:r>
        <w:rPr>
          <w:rFonts w:ascii="Times New Roman CYR" w:hAnsi="Times New Roman CYR" w:cs="Times New Roman CYR"/>
          <w:sz w:val="24"/>
          <w:szCs w:val="24"/>
        </w:rPr>
        <w:tab/>
        <w:t>56 679</w:t>
      </w:r>
      <w:r>
        <w:rPr>
          <w:rFonts w:ascii="Times New Roman CYR" w:hAnsi="Times New Roman CYR" w:cs="Times New Roman CYR"/>
          <w:sz w:val="24"/>
          <w:szCs w:val="24"/>
        </w:rPr>
        <w:tab/>
      </w:r>
      <w:r>
        <w:rPr>
          <w:rFonts w:ascii="Times New Roman CYR" w:hAnsi="Times New Roman CYR" w:cs="Times New Roman CYR"/>
          <w:sz w:val="24"/>
          <w:szCs w:val="24"/>
        </w:rPr>
        <w:tab/>
        <w:t>51 899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т.ч. експорт</w:t>
      </w:r>
      <w:r>
        <w:rPr>
          <w:rFonts w:ascii="Times New Roman CYR" w:hAnsi="Times New Roman CYR" w:cs="Times New Roman CYR"/>
          <w:sz w:val="24"/>
          <w:szCs w:val="24"/>
        </w:rPr>
        <w:tab/>
        <w:t xml:space="preserve">                  1 305</w:t>
      </w:r>
      <w:r>
        <w:rPr>
          <w:rFonts w:ascii="Times New Roman CYR" w:hAnsi="Times New Roman CYR" w:cs="Times New Roman CYR"/>
          <w:sz w:val="24"/>
          <w:szCs w:val="24"/>
        </w:rPr>
        <w:tab/>
      </w:r>
      <w:r>
        <w:rPr>
          <w:rFonts w:ascii="Times New Roman CYR" w:hAnsi="Times New Roman CYR" w:cs="Times New Roman CYR"/>
          <w:sz w:val="24"/>
          <w:szCs w:val="24"/>
        </w:rPr>
        <w:tab/>
        <w:t>1 112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ринок</w:t>
      </w:r>
      <w:r>
        <w:rPr>
          <w:rFonts w:ascii="Times New Roman CYR" w:hAnsi="Times New Roman CYR" w:cs="Times New Roman CYR"/>
          <w:sz w:val="24"/>
          <w:szCs w:val="24"/>
        </w:rPr>
        <w:tab/>
        <w:t xml:space="preserve">                55 374</w:t>
      </w:r>
      <w:r>
        <w:rPr>
          <w:rFonts w:ascii="Times New Roman CYR" w:hAnsi="Times New Roman CYR" w:cs="Times New Roman CYR"/>
          <w:sz w:val="24"/>
          <w:szCs w:val="24"/>
        </w:rPr>
        <w:tab/>
      </w:r>
      <w:r>
        <w:rPr>
          <w:rFonts w:ascii="Times New Roman CYR" w:hAnsi="Times New Roman CYR" w:cs="Times New Roman CYR"/>
          <w:sz w:val="24"/>
          <w:szCs w:val="24"/>
        </w:rPr>
        <w:tab/>
        <w:t>50 787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Iнше</w:t>
      </w:r>
      <w:r>
        <w:rPr>
          <w:rFonts w:ascii="Times New Roman CYR" w:hAnsi="Times New Roman CYR" w:cs="Times New Roman CYR"/>
          <w:sz w:val="24"/>
          <w:szCs w:val="24"/>
        </w:rPr>
        <w:tab/>
        <w:t xml:space="preserve">                                     201</w:t>
      </w:r>
      <w:r>
        <w:rPr>
          <w:rFonts w:ascii="Times New Roman CYR" w:hAnsi="Times New Roman CYR" w:cs="Times New Roman CYR"/>
          <w:sz w:val="24"/>
          <w:szCs w:val="24"/>
        </w:rPr>
        <w:tab/>
      </w:r>
      <w:r>
        <w:rPr>
          <w:rFonts w:ascii="Times New Roman CYR" w:hAnsi="Times New Roman CYR" w:cs="Times New Roman CYR"/>
          <w:sz w:val="24"/>
          <w:szCs w:val="24"/>
        </w:rPr>
        <w:tab/>
        <w:t>78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109 511</w:t>
      </w:r>
      <w:r>
        <w:rPr>
          <w:rFonts w:ascii="Times New Roman CYR" w:hAnsi="Times New Roman CYR" w:cs="Times New Roman CYR"/>
          <w:sz w:val="24"/>
          <w:szCs w:val="24"/>
        </w:rPr>
        <w:tab/>
      </w:r>
      <w:r>
        <w:rPr>
          <w:rFonts w:ascii="Times New Roman CYR" w:hAnsi="Times New Roman CYR" w:cs="Times New Roman CYR"/>
          <w:sz w:val="24"/>
          <w:szCs w:val="24"/>
        </w:rPr>
        <w:tab/>
        <w:t>126 823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2024 роцi 98,8% доходу було отримано вiд реалiзацiї продукцiї на внутрiшньому ринку (2023: 94,8%).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визнається в певний момент часу, коли вiдбувається передача обiцяних за договором товарiв або надання послуг покупцевi.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Балансовi залишки за договорами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 </w:t>
      </w:r>
      <w:r>
        <w:rPr>
          <w:rFonts w:ascii="Times New Roman CYR" w:hAnsi="Times New Roman CYR" w:cs="Times New Roman CYR"/>
          <w:sz w:val="24"/>
          <w:szCs w:val="24"/>
        </w:rPr>
        <w:tab/>
      </w:r>
      <w:r>
        <w:rPr>
          <w:rFonts w:ascii="Times New Roman CYR" w:hAnsi="Times New Roman CYR" w:cs="Times New Roman CYR"/>
          <w:sz w:val="24"/>
          <w:szCs w:val="24"/>
        </w:rPr>
        <w:tab/>
        <w:t>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Торгова дебiторська заборгованiсть (примiтка 9)</w:t>
      </w:r>
      <w:r>
        <w:rPr>
          <w:rFonts w:ascii="Times New Roman CYR" w:hAnsi="Times New Roman CYR" w:cs="Times New Roman CYR"/>
          <w:sz w:val="24"/>
          <w:szCs w:val="24"/>
        </w:rPr>
        <w:tab/>
        <w:t>2 542</w:t>
      </w:r>
      <w:r>
        <w:rPr>
          <w:rFonts w:ascii="Times New Roman CYR" w:hAnsi="Times New Roman CYR" w:cs="Times New Roman CYR"/>
          <w:sz w:val="24"/>
          <w:szCs w:val="24"/>
        </w:rPr>
        <w:tab/>
      </w:r>
      <w:r>
        <w:rPr>
          <w:rFonts w:ascii="Times New Roman CYR" w:hAnsi="Times New Roman CYR" w:cs="Times New Roman CYR"/>
          <w:sz w:val="24"/>
          <w:szCs w:val="24"/>
        </w:rPr>
        <w:tab/>
        <w:t>2 441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 за договорами (примiтка 10)</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r>
      <w:r>
        <w:rPr>
          <w:rFonts w:ascii="Times New Roman CYR" w:hAnsi="Times New Roman CYR" w:cs="Times New Roman CYR"/>
          <w:sz w:val="24"/>
          <w:szCs w:val="24"/>
        </w:rPr>
        <w:tab/>
        <w:t>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за договорами (примiтка 17)</w:t>
      </w:r>
      <w:r>
        <w:rPr>
          <w:rFonts w:ascii="Times New Roman CYR" w:hAnsi="Times New Roman CYR" w:cs="Times New Roman CYR"/>
          <w:sz w:val="24"/>
          <w:szCs w:val="24"/>
        </w:rPr>
        <w:tab/>
        <w:t xml:space="preserve">                   391</w:t>
      </w:r>
      <w:r>
        <w:rPr>
          <w:rFonts w:ascii="Times New Roman CYR" w:hAnsi="Times New Roman CYR" w:cs="Times New Roman CYR"/>
          <w:sz w:val="24"/>
          <w:szCs w:val="24"/>
        </w:rPr>
        <w:tab/>
      </w:r>
      <w:r>
        <w:rPr>
          <w:rFonts w:ascii="Times New Roman CYR" w:hAnsi="Times New Roman CYR" w:cs="Times New Roman CYR"/>
          <w:sz w:val="24"/>
          <w:szCs w:val="24"/>
        </w:rPr>
        <w:tab/>
        <w:t>94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за договорами представленi авансовими платежами, отриманими за договорами поставки флюсiв зварювальних, скла рiдкого натрiєвого та iнше. Такi зобов'язання за договорами виконуються в момент поставки продукцiї покупцю.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реалiзованої продукцiї (товарiв, робiт, послуг) включала: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 </w:t>
      </w:r>
      <w:r>
        <w:rPr>
          <w:rFonts w:ascii="Times New Roman CYR" w:hAnsi="Times New Roman CYR" w:cs="Times New Roman CYR"/>
          <w:sz w:val="24"/>
          <w:szCs w:val="24"/>
        </w:rPr>
        <w:tab/>
      </w:r>
      <w:r>
        <w:rPr>
          <w:rFonts w:ascii="Times New Roman CYR" w:hAnsi="Times New Roman CYR" w:cs="Times New Roman CYR"/>
          <w:sz w:val="24"/>
          <w:szCs w:val="24"/>
        </w:rPr>
        <w:tab/>
        <w:t xml:space="preserve">2023 р.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Електроенергiя, вода та природний газ</w:t>
      </w:r>
      <w:r>
        <w:rPr>
          <w:rFonts w:ascii="Times New Roman CYR" w:hAnsi="Times New Roman CYR" w:cs="Times New Roman CYR"/>
          <w:sz w:val="24"/>
          <w:szCs w:val="24"/>
        </w:rPr>
        <w:tab/>
        <w:t xml:space="preserve">                 8 498</w:t>
      </w:r>
      <w:r>
        <w:rPr>
          <w:rFonts w:ascii="Times New Roman CYR" w:hAnsi="Times New Roman CYR" w:cs="Times New Roman CYR"/>
          <w:sz w:val="24"/>
          <w:szCs w:val="24"/>
        </w:rPr>
        <w:tab/>
      </w:r>
      <w:r>
        <w:rPr>
          <w:rFonts w:ascii="Times New Roman CYR" w:hAnsi="Times New Roman CYR" w:cs="Times New Roman CYR"/>
          <w:sz w:val="24"/>
          <w:szCs w:val="24"/>
        </w:rPr>
        <w:tab/>
        <w:t>11 648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Сировина, допомiжнi матерiали                     </w:t>
      </w:r>
      <w:r>
        <w:rPr>
          <w:rFonts w:ascii="Times New Roman CYR" w:hAnsi="Times New Roman CYR" w:cs="Times New Roman CYR"/>
          <w:sz w:val="24"/>
          <w:szCs w:val="24"/>
        </w:rPr>
        <w:tab/>
        <w:t xml:space="preserve">               56 816</w:t>
      </w:r>
      <w:r>
        <w:rPr>
          <w:rFonts w:ascii="Times New Roman CYR" w:hAnsi="Times New Roman CYR" w:cs="Times New Roman CYR"/>
          <w:sz w:val="24"/>
          <w:szCs w:val="24"/>
        </w:rPr>
        <w:tab/>
      </w:r>
      <w:r>
        <w:rPr>
          <w:rFonts w:ascii="Times New Roman CYR" w:hAnsi="Times New Roman CYR" w:cs="Times New Roman CYR"/>
          <w:sz w:val="24"/>
          <w:szCs w:val="24"/>
        </w:rPr>
        <w:tab/>
        <w:t>56 233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w:t>
      </w:r>
      <w:r>
        <w:rPr>
          <w:rFonts w:ascii="Times New Roman CYR" w:hAnsi="Times New Roman CYR" w:cs="Times New Roman CYR"/>
          <w:sz w:val="24"/>
          <w:szCs w:val="24"/>
        </w:rPr>
        <w:tab/>
        <w:t xml:space="preserve">                                                                 4 485</w:t>
      </w:r>
      <w:r>
        <w:rPr>
          <w:rFonts w:ascii="Times New Roman CYR" w:hAnsi="Times New Roman CYR" w:cs="Times New Roman CYR"/>
          <w:sz w:val="24"/>
          <w:szCs w:val="24"/>
        </w:rPr>
        <w:tab/>
      </w:r>
      <w:r>
        <w:rPr>
          <w:rFonts w:ascii="Times New Roman CYR" w:hAnsi="Times New Roman CYR" w:cs="Times New Roman CYR"/>
          <w:sz w:val="24"/>
          <w:szCs w:val="24"/>
        </w:rPr>
        <w:tab/>
        <w:t>9 175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Заробiтна плата та вiдрахування на соцiальнi заходи </w:t>
      </w:r>
      <w:r>
        <w:rPr>
          <w:rFonts w:ascii="Times New Roman CYR" w:hAnsi="Times New Roman CYR" w:cs="Times New Roman CYR"/>
          <w:sz w:val="24"/>
          <w:szCs w:val="24"/>
        </w:rPr>
        <w:tab/>
        <w:t xml:space="preserve"> 2 423</w:t>
      </w:r>
      <w:r>
        <w:rPr>
          <w:rFonts w:ascii="Times New Roman CYR" w:hAnsi="Times New Roman CYR" w:cs="Times New Roman CYR"/>
          <w:sz w:val="24"/>
          <w:szCs w:val="24"/>
        </w:rPr>
        <w:tab/>
      </w:r>
      <w:r>
        <w:rPr>
          <w:rFonts w:ascii="Times New Roman CYR" w:hAnsi="Times New Roman CYR" w:cs="Times New Roman CYR"/>
          <w:sz w:val="24"/>
          <w:szCs w:val="24"/>
        </w:rPr>
        <w:tab/>
        <w:t>1 900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Iнше</w:t>
      </w:r>
      <w:r>
        <w:rPr>
          <w:rFonts w:ascii="Times New Roman CYR" w:hAnsi="Times New Roman CYR" w:cs="Times New Roman CYR"/>
          <w:sz w:val="24"/>
          <w:szCs w:val="24"/>
        </w:rPr>
        <w:tab/>
        <w:t xml:space="preserve">                                                                               15 002</w:t>
      </w:r>
      <w:r>
        <w:rPr>
          <w:rFonts w:ascii="Times New Roman CYR" w:hAnsi="Times New Roman CYR" w:cs="Times New Roman CYR"/>
          <w:sz w:val="24"/>
          <w:szCs w:val="24"/>
        </w:rPr>
        <w:tab/>
      </w:r>
      <w:r>
        <w:rPr>
          <w:rFonts w:ascii="Times New Roman CYR" w:hAnsi="Times New Roman CYR" w:cs="Times New Roman CYR"/>
          <w:sz w:val="24"/>
          <w:szCs w:val="24"/>
        </w:rPr>
        <w:tab/>
        <w:t>12 711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87 224</w:t>
      </w:r>
      <w:r>
        <w:rPr>
          <w:rFonts w:ascii="Times New Roman CYR" w:hAnsi="Times New Roman CYR" w:cs="Times New Roman CYR"/>
          <w:sz w:val="24"/>
          <w:szCs w:val="24"/>
        </w:rPr>
        <w:tab/>
      </w:r>
      <w:r>
        <w:rPr>
          <w:rFonts w:ascii="Times New Roman CYR" w:hAnsi="Times New Roman CYR" w:cs="Times New Roman CYR"/>
          <w:sz w:val="24"/>
          <w:szCs w:val="24"/>
        </w:rPr>
        <w:tab/>
        <w:t>91 667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доходи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Операцiйнi:</w:t>
      </w:r>
      <w:r>
        <w:rPr>
          <w:rFonts w:ascii="Times New Roman CYR" w:hAnsi="Times New Roman CYR" w:cs="Times New Roman CYR"/>
          <w:sz w:val="24"/>
          <w:szCs w:val="24"/>
        </w:rPr>
        <w:tab/>
        <w:t xml:space="preserve">                                                                6 889</w:t>
      </w:r>
      <w:r>
        <w:rPr>
          <w:rFonts w:ascii="Times New Roman CYR" w:hAnsi="Times New Roman CYR" w:cs="Times New Roman CYR"/>
          <w:sz w:val="24"/>
          <w:szCs w:val="24"/>
        </w:rPr>
        <w:tab/>
      </w:r>
      <w:r>
        <w:rPr>
          <w:rFonts w:ascii="Times New Roman CYR" w:hAnsi="Times New Roman CYR" w:cs="Times New Roman CYR"/>
          <w:sz w:val="24"/>
          <w:szCs w:val="24"/>
        </w:rPr>
        <w:tab/>
        <w:t>5 411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реалiзацiї iнших оборотних активiв та послуг</w:t>
      </w:r>
      <w:r>
        <w:rPr>
          <w:rFonts w:ascii="Times New Roman CYR" w:hAnsi="Times New Roman CYR" w:cs="Times New Roman CYR"/>
          <w:sz w:val="24"/>
          <w:szCs w:val="24"/>
        </w:rPr>
        <w:tab/>
        <w:t xml:space="preserve">  540</w:t>
      </w:r>
      <w:r>
        <w:rPr>
          <w:rFonts w:ascii="Times New Roman CYR" w:hAnsi="Times New Roman CYR" w:cs="Times New Roman CYR"/>
          <w:sz w:val="24"/>
          <w:szCs w:val="24"/>
        </w:rPr>
        <w:tab/>
      </w:r>
      <w:r>
        <w:rPr>
          <w:rFonts w:ascii="Times New Roman CYR" w:hAnsi="Times New Roman CYR" w:cs="Times New Roman CYR"/>
          <w:sz w:val="24"/>
          <w:szCs w:val="24"/>
        </w:rPr>
        <w:tab/>
        <w:t>307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iнших видiв операцiйної дiяльностi</w:t>
      </w:r>
      <w:r>
        <w:rPr>
          <w:rFonts w:ascii="Times New Roman CYR" w:hAnsi="Times New Roman CYR" w:cs="Times New Roman CYR"/>
          <w:sz w:val="24"/>
          <w:szCs w:val="24"/>
        </w:rPr>
        <w:tab/>
        <w:t xml:space="preserve">               3 544</w:t>
      </w:r>
      <w:r>
        <w:rPr>
          <w:rFonts w:ascii="Times New Roman CYR" w:hAnsi="Times New Roman CYR" w:cs="Times New Roman CYR"/>
          <w:sz w:val="24"/>
          <w:szCs w:val="24"/>
        </w:rPr>
        <w:tab/>
      </w:r>
      <w:r>
        <w:rPr>
          <w:rFonts w:ascii="Times New Roman CYR" w:hAnsi="Times New Roman CYR" w:cs="Times New Roman CYR"/>
          <w:sz w:val="24"/>
          <w:szCs w:val="24"/>
        </w:rPr>
        <w:tab/>
        <w:t>2 935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продажу iноземної валюти                                         4</w:t>
      </w:r>
      <w:r>
        <w:rPr>
          <w:rFonts w:ascii="Times New Roman CYR" w:hAnsi="Times New Roman CYR" w:cs="Times New Roman CYR"/>
          <w:sz w:val="24"/>
          <w:szCs w:val="24"/>
        </w:rPr>
        <w:tab/>
      </w:r>
      <w:r>
        <w:rPr>
          <w:rFonts w:ascii="Times New Roman CYR" w:hAnsi="Times New Roman CYR" w:cs="Times New Roman CYR"/>
          <w:sz w:val="24"/>
          <w:szCs w:val="24"/>
        </w:rPr>
        <w:tab/>
        <w:t>29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операцiйної курсової рiзницi</w:t>
      </w:r>
      <w:r>
        <w:rPr>
          <w:rFonts w:ascii="Times New Roman CYR" w:hAnsi="Times New Roman CYR" w:cs="Times New Roman CYR"/>
          <w:sz w:val="24"/>
          <w:szCs w:val="24"/>
        </w:rPr>
        <w:tab/>
        <w:t xml:space="preserve">                                  503</w:t>
      </w:r>
      <w:r>
        <w:rPr>
          <w:rFonts w:ascii="Times New Roman CYR" w:hAnsi="Times New Roman CYR" w:cs="Times New Roman CYR"/>
          <w:sz w:val="24"/>
          <w:szCs w:val="24"/>
        </w:rPr>
        <w:tab/>
      </w:r>
      <w:r>
        <w:rPr>
          <w:rFonts w:ascii="Times New Roman CYR" w:hAnsi="Times New Roman CYR" w:cs="Times New Roman CYR"/>
          <w:sz w:val="24"/>
          <w:szCs w:val="24"/>
        </w:rPr>
        <w:tab/>
        <w:t>282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коригування резерву на знецiнення запасiв</w:t>
      </w:r>
      <w:r>
        <w:rPr>
          <w:rFonts w:ascii="Times New Roman CYR" w:hAnsi="Times New Roman CYR" w:cs="Times New Roman CYR"/>
          <w:sz w:val="24"/>
          <w:szCs w:val="24"/>
        </w:rPr>
        <w:tab/>
        <w:t>2 075</w:t>
      </w:r>
      <w:r>
        <w:rPr>
          <w:rFonts w:ascii="Times New Roman CYR" w:hAnsi="Times New Roman CYR" w:cs="Times New Roman CYR"/>
          <w:sz w:val="24"/>
          <w:szCs w:val="24"/>
        </w:rPr>
        <w:tab/>
      </w:r>
      <w:r>
        <w:rPr>
          <w:rFonts w:ascii="Times New Roman CYR" w:hAnsi="Times New Roman CYR" w:cs="Times New Roman CYR"/>
          <w:sz w:val="24"/>
          <w:szCs w:val="24"/>
        </w:rPr>
        <w:tab/>
        <w:t>38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коригування резерву пiд очiкуванi збитки</w:t>
      </w:r>
      <w:r>
        <w:rPr>
          <w:rFonts w:ascii="Times New Roman CYR" w:hAnsi="Times New Roman CYR" w:cs="Times New Roman CYR"/>
          <w:sz w:val="24"/>
          <w:szCs w:val="24"/>
        </w:rPr>
        <w:tab/>
        <w:t xml:space="preserve">   223</w:t>
      </w:r>
      <w:r>
        <w:rPr>
          <w:rFonts w:ascii="Times New Roman CYR" w:hAnsi="Times New Roman CYR" w:cs="Times New Roman CYR"/>
          <w:sz w:val="24"/>
          <w:szCs w:val="24"/>
        </w:rPr>
        <w:tab/>
      </w:r>
      <w:r>
        <w:rPr>
          <w:rFonts w:ascii="Times New Roman CYR" w:hAnsi="Times New Roman CYR" w:cs="Times New Roman CYR"/>
          <w:sz w:val="24"/>
          <w:szCs w:val="24"/>
        </w:rPr>
        <w:tab/>
        <w:t>1 820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6 889</w:t>
      </w:r>
      <w:r>
        <w:rPr>
          <w:rFonts w:ascii="Times New Roman CYR" w:hAnsi="Times New Roman CYR" w:cs="Times New Roman CYR"/>
          <w:sz w:val="24"/>
          <w:szCs w:val="24"/>
        </w:rPr>
        <w:tab/>
      </w:r>
      <w:r>
        <w:rPr>
          <w:rFonts w:ascii="Times New Roman CYR" w:hAnsi="Times New Roman CYR" w:cs="Times New Roman CYR"/>
          <w:sz w:val="24"/>
          <w:szCs w:val="24"/>
        </w:rPr>
        <w:tab/>
        <w:t>5 411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доходи: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доходи (амортизацiя дисконту вiд визначення теперiшньої вартостi) за довгостроковими зобов'язаннями (поворотна фiнансова допомога) </w:t>
      </w:r>
      <w:r>
        <w:rPr>
          <w:rFonts w:ascii="Times New Roman CYR" w:hAnsi="Times New Roman CYR" w:cs="Times New Roman CYR"/>
          <w:sz w:val="24"/>
          <w:szCs w:val="24"/>
        </w:rPr>
        <w:tab/>
        <w:t xml:space="preserve">                                    22</w:t>
      </w:r>
      <w:r>
        <w:rPr>
          <w:rFonts w:ascii="Times New Roman CYR" w:hAnsi="Times New Roman CYR" w:cs="Times New Roman CYR"/>
          <w:sz w:val="24"/>
          <w:szCs w:val="24"/>
        </w:rPr>
        <w:tab/>
      </w:r>
      <w:r>
        <w:rPr>
          <w:rFonts w:ascii="Times New Roman CYR" w:hAnsi="Times New Roman CYR" w:cs="Times New Roman CYR"/>
          <w:sz w:val="24"/>
          <w:szCs w:val="24"/>
        </w:rPr>
        <w:tab/>
        <w:t>32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22</w:t>
      </w:r>
      <w:r>
        <w:rPr>
          <w:rFonts w:ascii="Times New Roman CYR" w:hAnsi="Times New Roman CYR" w:cs="Times New Roman CYR"/>
          <w:sz w:val="24"/>
          <w:szCs w:val="24"/>
        </w:rPr>
        <w:tab/>
      </w:r>
      <w:r>
        <w:rPr>
          <w:rFonts w:ascii="Times New Roman CYR" w:hAnsi="Times New Roman CYR" w:cs="Times New Roman CYR"/>
          <w:sz w:val="24"/>
          <w:szCs w:val="24"/>
        </w:rPr>
        <w:tab/>
        <w:t>32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Адмiнiстративнi витрати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Заробiтна плата  та вiдрахування на соцiальнi заходи</w:t>
      </w:r>
      <w:r>
        <w:rPr>
          <w:rFonts w:ascii="Times New Roman CYR" w:hAnsi="Times New Roman CYR" w:cs="Times New Roman CYR"/>
          <w:sz w:val="24"/>
          <w:szCs w:val="24"/>
        </w:rPr>
        <w:tab/>
        <w:t>15 930</w:t>
      </w:r>
      <w:r>
        <w:rPr>
          <w:rFonts w:ascii="Times New Roman CYR" w:hAnsi="Times New Roman CYR" w:cs="Times New Roman CYR"/>
          <w:sz w:val="24"/>
          <w:szCs w:val="24"/>
        </w:rPr>
        <w:tab/>
      </w:r>
      <w:r>
        <w:rPr>
          <w:rFonts w:ascii="Times New Roman CYR" w:hAnsi="Times New Roman CYR" w:cs="Times New Roman CYR"/>
          <w:sz w:val="24"/>
          <w:szCs w:val="24"/>
        </w:rPr>
        <w:tab/>
        <w:t>13 205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Знос i амортизацiя</w:t>
      </w:r>
      <w:r>
        <w:rPr>
          <w:rFonts w:ascii="Times New Roman CYR" w:hAnsi="Times New Roman CYR" w:cs="Times New Roman CYR"/>
          <w:sz w:val="24"/>
          <w:szCs w:val="24"/>
        </w:rPr>
        <w:tab/>
        <w:t xml:space="preserve">                                                     501</w:t>
      </w:r>
      <w:r>
        <w:rPr>
          <w:rFonts w:ascii="Times New Roman CYR" w:hAnsi="Times New Roman CYR" w:cs="Times New Roman CYR"/>
          <w:sz w:val="24"/>
          <w:szCs w:val="24"/>
        </w:rPr>
        <w:tab/>
      </w:r>
      <w:r>
        <w:rPr>
          <w:rFonts w:ascii="Times New Roman CYR" w:hAnsi="Times New Roman CYR" w:cs="Times New Roman CYR"/>
          <w:sz w:val="24"/>
          <w:szCs w:val="24"/>
        </w:rPr>
        <w:tab/>
        <w:t>535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вiдрядження</w:t>
      </w:r>
      <w:r>
        <w:rPr>
          <w:rFonts w:ascii="Times New Roman CYR" w:hAnsi="Times New Roman CYR" w:cs="Times New Roman CYR"/>
          <w:sz w:val="24"/>
          <w:szCs w:val="24"/>
        </w:rPr>
        <w:tab/>
        <w:t xml:space="preserve">                                                      25</w:t>
      </w:r>
      <w:r>
        <w:rPr>
          <w:rFonts w:ascii="Times New Roman CYR" w:hAnsi="Times New Roman CYR" w:cs="Times New Roman CYR"/>
          <w:sz w:val="24"/>
          <w:szCs w:val="24"/>
        </w:rPr>
        <w:tab/>
      </w:r>
      <w:r>
        <w:rPr>
          <w:rFonts w:ascii="Times New Roman CYR" w:hAnsi="Times New Roman CYR" w:cs="Times New Roman CYR"/>
          <w:sz w:val="24"/>
          <w:szCs w:val="24"/>
        </w:rPr>
        <w:tab/>
        <w:t>33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Податки, збори, обов'язковi платежi                                       807</w:t>
      </w:r>
      <w:r>
        <w:rPr>
          <w:rFonts w:ascii="Times New Roman CYR" w:hAnsi="Times New Roman CYR" w:cs="Times New Roman CYR"/>
          <w:sz w:val="24"/>
          <w:szCs w:val="24"/>
        </w:rPr>
        <w:tab/>
      </w:r>
      <w:r>
        <w:rPr>
          <w:rFonts w:ascii="Times New Roman CYR" w:hAnsi="Times New Roman CYR" w:cs="Times New Roman CYR"/>
          <w:sz w:val="24"/>
          <w:szCs w:val="24"/>
        </w:rPr>
        <w:tab/>
        <w:t>766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Банкiвськi комiсiї </w:t>
      </w:r>
      <w:r>
        <w:rPr>
          <w:rFonts w:ascii="Times New Roman CYR" w:hAnsi="Times New Roman CYR" w:cs="Times New Roman CYR"/>
          <w:sz w:val="24"/>
          <w:szCs w:val="24"/>
        </w:rPr>
        <w:tab/>
        <w:t xml:space="preserve">                                                                      63</w:t>
      </w:r>
      <w:r>
        <w:rPr>
          <w:rFonts w:ascii="Times New Roman CYR" w:hAnsi="Times New Roman CYR" w:cs="Times New Roman CYR"/>
          <w:sz w:val="24"/>
          <w:szCs w:val="24"/>
        </w:rPr>
        <w:tab/>
      </w:r>
      <w:r>
        <w:rPr>
          <w:rFonts w:ascii="Times New Roman CYR" w:hAnsi="Times New Roman CYR" w:cs="Times New Roman CYR"/>
          <w:sz w:val="24"/>
          <w:szCs w:val="24"/>
        </w:rPr>
        <w:tab/>
        <w:t>91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матерiали</w:t>
      </w:r>
      <w:r>
        <w:rPr>
          <w:rFonts w:ascii="Times New Roman CYR" w:hAnsi="Times New Roman CYR" w:cs="Times New Roman CYR"/>
          <w:sz w:val="24"/>
          <w:szCs w:val="24"/>
        </w:rPr>
        <w:tab/>
        <w:t xml:space="preserve">                                                    257</w:t>
      </w:r>
      <w:r>
        <w:rPr>
          <w:rFonts w:ascii="Times New Roman CYR" w:hAnsi="Times New Roman CYR" w:cs="Times New Roman CYR"/>
          <w:sz w:val="24"/>
          <w:szCs w:val="24"/>
        </w:rPr>
        <w:tab/>
      </w:r>
      <w:r>
        <w:rPr>
          <w:rFonts w:ascii="Times New Roman CYR" w:hAnsi="Times New Roman CYR" w:cs="Times New Roman CYR"/>
          <w:sz w:val="24"/>
          <w:szCs w:val="24"/>
        </w:rPr>
        <w:tab/>
        <w:t>412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w:t>
      </w:r>
      <w:r>
        <w:rPr>
          <w:rFonts w:ascii="Times New Roman CYR" w:hAnsi="Times New Roman CYR" w:cs="Times New Roman CYR"/>
          <w:sz w:val="24"/>
          <w:szCs w:val="24"/>
        </w:rPr>
        <w:tab/>
        <w:t xml:space="preserve">                                                                    303</w:t>
      </w:r>
      <w:r>
        <w:rPr>
          <w:rFonts w:ascii="Times New Roman CYR" w:hAnsi="Times New Roman CYR" w:cs="Times New Roman CYR"/>
          <w:sz w:val="24"/>
          <w:szCs w:val="24"/>
        </w:rPr>
        <w:tab/>
      </w:r>
      <w:r>
        <w:rPr>
          <w:rFonts w:ascii="Times New Roman CYR" w:hAnsi="Times New Roman CYR" w:cs="Times New Roman CYR"/>
          <w:sz w:val="24"/>
          <w:szCs w:val="24"/>
        </w:rPr>
        <w:tab/>
        <w:t>295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 стороннiх органiзацiй</w:t>
      </w:r>
      <w:r>
        <w:rPr>
          <w:rFonts w:ascii="Times New Roman CYR" w:hAnsi="Times New Roman CYR" w:cs="Times New Roman CYR"/>
          <w:sz w:val="24"/>
          <w:szCs w:val="24"/>
        </w:rPr>
        <w:tab/>
        <w:t xml:space="preserve">                                 1 948</w:t>
      </w:r>
      <w:r>
        <w:rPr>
          <w:rFonts w:ascii="Times New Roman CYR" w:hAnsi="Times New Roman CYR" w:cs="Times New Roman CYR"/>
          <w:sz w:val="24"/>
          <w:szCs w:val="24"/>
        </w:rPr>
        <w:tab/>
      </w:r>
      <w:r>
        <w:rPr>
          <w:rFonts w:ascii="Times New Roman CYR" w:hAnsi="Times New Roman CYR" w:cs="Times New Roman CYR"/>
          <w:sz w:val="24"/>
          <w:szCs w:val="24"/>
        </w:rPr>
        <w:tab/>
        <w:t>1 365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витрати</w:t>
      </w:r>
      <w:r>
        <w:rPr>
          <w:rFonts w:ascii="Times New Roman CYR" w:hAnsi="Times New Roman CYR" w:cs="Times New Roman CYR"/>
          <w:sz w:val="24"/>
          <w:szCs w:val="24"/>
        </w:rPr>
        <w:tab/>
        <w:t xml:space="preserve">                                                                    469</w:t>
      </w:r>
      <w:r>
        <w:rPr>
          <w:rFonts w:ascii="Times New Roman CYR" w:hAnsi="Times New Roman CYR" w:cs="Times New Roman CYR"/>
          <w:sz w:val="24"/>
          <w:szCs w:val="24"/>
        </w:rPr>
        <w:tab/>
      </w:r>
      <w:r>
        <w:rPr>
          <w:rFonts w:ascii="Times New Roman CYR" w:hAnsi="Times New Roman CYR" w:cs="Times New Roman CYR"/>
          <w:sz w:val="24"/>
          <w:szCs w:val="24"/>
        </w:rPr>
        <w:tab/>
        <w:t>221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Iнше</w:t>
      </w:r>
      <w:r>
        <w:rPr>
          <w:rFonts w:ascii="Times New Roman CYR" w:hAnsi="Times New Roman CYR" w:cs="Times New Roman CYR"/>
          <w:sz w:val="24"/>
          <w:szCs w:val="24"/>
        </w:rPr>
        <w:tab/>
        <w:t xml:space="preserve">                                                                                  1764</w:t>
      </w:r>
      <w:r>
        <w:rPr>
          <w:rFonts w:ascii="Times New Roman CYR" w:hAnsi="Times New Roman CYR" w:cs="Times New Roman CYR"/>
          <w:sz w:val="24"/>
          <w:szCs w:val="24"/>
        </w:rPr>
        <w:tab/>
      </w:r>
      <w:r>
        <w:rPr>
          <w:rFonts w:ascii="Times New Roman CYR" w:hAnsi="Times New Roman CYR" w:cs="Times New Roman CYR"/>
          <w:sz w:val="24"/>
          <w:szCs w:val="24"/>
        </w:rPr>
        <w:tab/>
        <w:t>1 832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22 067</w:t>
      </w:r>
      <w:r>
        <w:rPr>
          <w:rFonts w:ascii="Times New Roman CYR" w:hAnsi="Times New Roman CYR" w:cs="Times New Roman CYR"/>
          <w:sz w:val="24"/>
          <w:szCs w:val="24"/>
        </w:rPr>
        <w:tab/>
      </w:r>
      <w:r>
        <w:rPr>
          <w:rFonts w:ascii="Times New Roman CYR" w:hAnsi="Times New Roman CYR" w:cs="Times New Roman CYR"/>
          <w:sz w:val="24"/>
          <w:szCs w:val="24"/>
        </w:rPr>
        <w:tab/>
        <w:t>18 755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збут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 </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Транспортнi послуги</w:t>
      </w:r>
      <w:r>
        <w:rPr>
          <w:rFonts w:ascii="Times New Roman CYR" w:hAnsi="Times New Roman CYR" w:cs="Times New Roman CYR"/>
          <w:sz w:val="24"/>
          <w:szCs w:val="24"/>
        </w:rPr>
        <w:tab/>
        <w:t xml:space="preserve">                                                 2 001</w:t>
      </w:r>
      <w:r>
        <w:rPr>
          <w:rFonts w:ascii="Times New Roman CYR" w:hAnsi="Times New Roman CYR" w:cs="Times New Roman CYR"/>
          <w:sz w:val="24"/>
          <w:szCs w:val="24"/>
        </w:rPr>
        <w:tab/>
      </w:r>
      <w:r>
        <w:rPr>
          <w:rFonts w:ascii="Times New Roman CYR" w:hAnsi="Times New Roman CYR" w:cs="Times New Roman CYR"/>
          <w:sz w:val="24"/>
          <w:szCs w:val="24"/>
        </w:rPr>
        <w:tab/>
        <w:t>1 712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Заробiтна плата  та вiдрахування на соцiальнi заходи</w:t>
      </w:r>
      <w:r>
        <w:rPr>
          <w:rFonts w:ascii="Times New Roman CYR" w:hAnsi="Times New Roman CYR" w:cs="Times New Roman CYR"/>
          <w:sz w:val="24"/>
          <w:szCs w:val="24"/>
        </w:rPr>
        <w:tab/>
        <w:t xml:space="preserve">   944</w:t>
      </w:r>
      <w:r>
        <w:rPr>
          <w:rFonts w:ascii="Times New Roman CYR" w:hAnsi="Times New Roman CYR" w:cs="Times New Roman CYR"/>
          <w:sz w:val="24"/>
          <w:szCs w:val="24"/>
        </w:rPr>
        <w:tab/>
      </w:r>
      <w:r>
        <w:rPr>
          <w:rFonts w:ascii="Times New Roman CYR" w:hAnsi="Times New Roman CYR" w:cs="Times New Roman CYR"/>
          <w:sz w:val="24"/>
          <w:szCs w:val="24"/>
        </w:rPr>
        <w:tab/>
        <w:t>1 553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Знос i амортизацiя</w:t>
      </w:r>
      <w:r>
        <w:rPr>
          <w:rFonts w:ascii="Times New Roman CYR" w:hAnsi="Times New Roman CYR" w:cs="Times New Roman CYR"/>
          <w:sz w:val="24"/>
          <w:szCs w:val="24"/>
        </w:rPr>
        <w:tab/>
        <w:t xml:space="preserve">                                                    221</w:t>
      </w:r>
      <w:r>
        <w:rPr>
          <w:rFonts w:ascii="Times New Roman CYR" w:hAnsi="Times New Roman CYR" w:cs="Times New Roman CYR"/>
          <w:sz w:val="24"/>
          <w:szCs w:val="24"/>
        </w:rPr>
        <w:tab/>
      </w:r>
      <w:r>
        <w:rPr>
          <w:rFonts w:ascii="Times New Roman CYR" w:hAnsi="Times New Roman CYR" w:cs="Times New Roman CYR"/>
          <w:sz w:val="24"/>
          <w:szCs w:val="24"/>
        </w:rPr>
        <w:tab/>
        <w:t>274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Iнше</w:t>
      </w:r>
      <w:r>
        <w:rPr>
          <w:rFonts w:ascii="Times New Roman CYR" w:hAnsi="Times New Roman CYR" w:cs="Times New Roman CYR"/>
          <w:sz w:val="24"/>
          <w:szCs w:val="24"/>
        </w:rPr>
        <w:tab/>
        <w:t xml:space="preserve">                                                                                    350</w:t>
      </w:r>
      <w:r>
        <w:rPr>
          <w:rFonts w:ascii="Times New Roman CYR" w:hAnsi="Times New Roman CYR" w:cs="Times New Roman CYR"/>
          <w:sz w:val="24"/>
          <w:szCs w:val="24"/>
        </w:rPr>
        <w:tab/>
      </w:r>
      <w:r>
        <w:rPr>
          <w:rFonts w:ascii="Times New Roman CYR" w:hAnsi="Times New Roman CYR" w:cs="Times New Roman CYR"/>
          <w:sz w:val="24"/>
          <w:szCs w:val="24"/>
        </w:rPr>
        <w:tab/>
        <w:t>567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3 516</w:t>
      </w:r>
      <w:r>
        <w:rPr>
          <w:rFonts w:ascii="Times New Roman CYR" w:hAnsi="Times New Roman CYR" w:cs="Times New Roman CYR"/>
          <w:sz w:val="24"/>
          <w:szCs w:val="24"/>
        </w:rPr>
        <w:tab/>
      </w:r>
      <w:r>
        <w:rPr>
          <w:rFonts w:ascii="Times New Roman CYR" w:hAnsi="Times New Roman CYR" w:cs="Times New Roman CYR"/>
          <w:sz w:val="24"/>
          <w:szCs w:val="24"/>
        </w:rPr>
        <w:tab/>
        <w:t>4 106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витрати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Операцiйнi:</w:t>
      </w:r>
      <w:r>
        <w:rPr>
          <w:rFonts w:ascii="Times New Roman CYR" w:hAnsi="Times New Roman CYR" w:cs="Times New Roman CYR"/>
          <w:sz w:val="24"/>
          <w:szCs w:val="24"/>
        </w:rPr>
        <w:tab/>
        <w:t xml:space="preserve">                                                                                                 21 207</w:t>
      </w:r>
      <w:r>
        <w:rPr>
          <w:rFonts w:ascii="Times New Roman CYR" w:hAnsi="Times New Roman CYR" w:cs="Times New Roman CYR"/>
          <w:sz w:val="24"/>
          <w:szCs w:val="24"/>
        </w:rPr>
        <w:tab/>
      </w:r>
      <w:r>
        <w:rPr>
          <w:rFonts w:ascii="Times New Roman CYR" w:hAnsi="Times New Roman CYR" w:cs="Times New Roman CYR"/>
          <w:sz w:val="24"/>
          <w:szCs w:val="24"/>
        </w:rPr>
        <w:tab/>
        <w:t>46 306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Витрати на матерiальну, благодiйну допомогу та iншi виплати</w:t>
      </w:r>
      <w:r>
        <w:rPr>
          <w:rFonts w:ascii="Times New Roman CYR" w:hAnsi="Times New Roman CYR" w:cs="Times New Roman CYR"/>
          <w:sz w:val="24"/>
          <w:szCs w:val="24"/>
        </w:rPr>
        <w:tab/>
        <w:t xml:space="preserve">                      845</w:t>
      </w:r>
      <w:r>
        <w:rPr>
          <w:rFonts w:ascii="Times New Roman CYR" w:hAnsi="Times New Roman CYR" w:cs="Times New Roman CYR"/>
          <w:sz w:val="24"/>
          <w:szCs w:val="24"/>
        </w:rPr>
        <w:tab/>
      </w:r>
      <w:r>
        <w:rPr>
          <w:rFonts w:ascii="Times New Roman CYR" w:hAnsi="Times New Roman CYR" w:cs="Times New Roman CYR"/>
          <w:sz w:val="24"/>
          <w:szCs w:val="24"/>
        </w:rPr>
        <w:tab/>
        <w:t>7 930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створення резерву сумнiвних боргiв</w:t>
      </w:r>
      <w:r>
        <w:rPr>
          <w:rFonts w:ascii="Times New Roman CYR" w:hAnsi="Times New Roman CYR" w:cs="Times New Roman CYR"/>
          <w:sz w:val="24"/>
          <w:szCs w:val="24"/>
        </w:rPr>
        <w:tab/>
        <w:t xml:space="preserve">                                   1 369</w:t>
      </w:r>
      <w:r>
        <w:rPr>
          <w:rFonts w:ascii="Times New Roman CYR" w:hAnsi="Times New Roman CYR" w:cs="Times New Roman CYR"/>
          <w:sz w:val="24"/>
          <w:szCs w:val="24"/>
        </w:rPr>
        <w:tab/>
      </w:r>
      <w:r>
        <w:rPr>
          <w:rFonts w:ascii="Times New Roman CYR" w:hAnsi="Times New Roman CYR" w:cs="Times New Roman CYR"/>
          <w:sz w:val="24"/>
          <w:szCs w:val="24"/>
        </w:rPr>
        <w:tab/>
        <w:t>2 918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пiдтримання основних засобiв в робочому станi</w:t>
      </w:r>
      <w:r>
        <w:rPr>
          <w:rFonts w:ascii="Times New Roman CYR" w:hAnsi="Times New Roman CYR" w:cs="Times New Roman CYR"/>
          <w:sz w:val="24"/>
          <w:szCs w:val="24"/>
        </w:rPr>
        <w:tab/>
        <w:t xml:space="preserve">                   6 600</w:t>
      </w:r>
      <w:r>
        <w:rPr>
          <w:rFonts w:ascii="Times New Roman CYR" w:hAnsi="Times New Roman CYR" w:cs="Times New Roman CYR"/>
          <w:sz w:val="24"/>
          <w:szCs w:val="24"/>
        </w:rPr>
        <w:tab/>
      </w:r>
      <w:r>
        <w:rPr>
          <w:rFonts w:ascii="Times New Roman CYR" w:hAnsi="Times New Roman CYR" w:cs="Times New Roman CYR"/>
          <w:sz w:val="24"/>
          <w:szCs w:val="24"/>
        </w:rPr>
        <w:tab/>
        <w:t>23 578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зносу</w:t>
      </w:r>
      <w:r>
        <w:rPr>
          <w:rFonts w:ascii="Times New Roman CYR" w:hAnsi="Times New Roman CYR" w:cs="Times New Roman CYR"/>
          <w:sz w:val="24"/>
          <w:szCs w:val="24"/>
        </w:rPr>
        <w:tab/>
        <w:t xml:space="preserve">                                                                                   4 113</w:t>
      </w:r>
      <w:r>
        <w:rPr>
          <w:rFonts w:ascii="Times New Roman CYR" w:hAnsi="Times New Roman CYR" w:cs="Times New Roman CYR"/>
          <w:sz w:val="24"/>
          <w:szCs w:val="24"/>
        </w:rPr>
        <w:tab/>
      </w:r>
      <w:r>
        <w:rPr>
          <w:rFonts w:ascii="Times New Roman CYR" w:hAnsi="Times New Roman CYR" w:cs="Times New Roman CYR"/>
          <w:sz w:val="24"/>
          <w:szCs w:val="24"/>
        </w:rPr>
        <w:tab/>
        <w:t>29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згiдно судового рiшення ухваленi на користь АТ ОГС Запорiжгаз</w:t>
      </w:r>
      <w:r>
        <w:rPr>
          <w:rFonts w:ascii="Times New Roman CYR" w:hAnsi="Times New Roman CYR" w:cs="Times New Roman CYR"/>
          <w:sz w:val="24"/>
          <w:szCs w:val="24"/>
        </w:rPr>
        <w:tab/>
        <w:t xml:space="preserve">   2 210</w:t>
      </w:r>
      <w:r>
        <w:rPr>
          <w:rFonts w:ascii="Times New Roman CYR" w:hAnsi="Times New Roman CYR" w:cs="Times New Roman CYR"/>
          <w:sz w:val="24"/>
          <w:szCs w:val="24"/>
        </w:rPr>
        <w:tab/>
      </w:r>
      <w:r>
        <w:rPr>
          <w:rFonts w:ascii="Times New Roman CYR" w:hAnsi="Times New Roman CYR" w:cs="Times New Roman CYR"/>
          <w:sz w:val="24"/>
          <w:szCs w:val="24"/>
        </w:rPr>
        <w:tab/>
        <w:t>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Пенсiйне забезпечення</w:t>
      </w:r>
      <w:r>
        <w:rPr>
          <w:rFonts w:ascii="Times New Roman CYR" w:hAnsi="Times New Roman CYR" w:cs="Times New Roman CYR"/>
          <w:sz w:val="24"/>
          <w:szCs w:val="24"/>
        </w:rPr>
        <w:tab/>
        <w:t xml:space="preserve">                                                                                   2 525</w:t>
      </w:r>
      <w:r>
        <w:rPr>
          <w:rFonts w:ascii="Times New Roman CYR" w:hAnsi="Times New Roman CYR" w:cs="Times New Roman CYR"/>
          <w:sz w:val="24"/>
          <w:szCs w:val="24"/>
        </w:rPr>
        <w:tab/>
      </w:r>
      <w:r>
        <w:rPr>
          <w:rFonts w:ascii="Times New Roman CYR" w:hAnsi="Times New Roman CYR" w:cs="Times New Roman CYR"/>
          <w:sz w:val="24"/>
          <w:szCs w:val="24"/>
        </w:rPr>
        <w:tab/>
        <w:t>2 209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створення резерву уцiнення запасiв</w:t>
      </w:r>
      <w:r>
        <w:rPr>
          <w:rFonts w:ascii="Times New Roman CYR" w:hAnsi="Times New Roman CYR" w:cs="Times New Roman CYR"/>
          <w:sz w:val="24"/>
          <w:szCs w:val="24"/>
        </w:rPr>
        <w:tab/>
        <w:t xml:space="preserve">                                   1 920</w:t>
      </w:r>
      <w:r>
        <w:rPr>
          <w:rFonts w:ascii="Times New Roman CYR" w:hAnsi="Times New Roman CYR" w:cs="Times New Roman CYR"/>
          <w:sz w:val="24"/>
          <w:szCs w:val="24"/>
        </w:rPr>
        <w:tab/>
      </w:r>
      <w:r>
        <w:rPr>
          <w:rFonts w:ascii="Times New Roman CYR" w:hAnsi="Times New Roman CYR" w:cs="Times New Roman CYR"/>
          <w:sz w:val="24"/>
          <w:szCs w:val="24"/>
        </w:rPr>
        <w:tab/>
        <w:t>2 724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 стороннiх органiзацiй</w:t>
      </w:r>
      <w:r>
        <w:rPr>
          <w:rFonts w:ascii="Times New Roman CYR" w:hAnsi="Times New Roman CYR" w:cs="Times New Roman CYR"/>
          <w:sz w:val="24"/>
          <w:szCs w:val="24"/>
        </w:rPr>
        <w:tab/>
        <w:t xml:space="preserve">                                                                        23</w:t>
      </w:r>
      <w:r>
        <w:rPr>
          <w:rFonts w:ascii="Times New Roman CYR" w:hAnsi="Times New Roman CYR" w:cs="Times New Roman CYR"/>
          <w:sz w:val="24"/>
          <w:szCs w:val="24"/>
        </w:rPr>
        <w:tab/>
      </w:r>
      <w:r>
        <w:rPr>
          <w:rFonts w:ascii="Times New Roman CYR" w:hAnsi="Times New Roman CYR" w:cs="Times New Roman CYR"/>
          <w:sz w:val="24"/>
          <w:szCs w:val="24"/>
        </w:rPr>
        <w:tab/>
        <w:t>3 043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Ремонт споруд та обладнання постраждалих вiд агресiї рф</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r>
      <w:r>
        <w:rPr>
          <w:rFonts w:ascii="Times New Roman CYR" w:hAnsi="Times New Roman CYR" w:cs="Times New Roman CYR"/>
          <w:sz w:val="24"/>
          <w:szCs w:val="24"/>
        </w:rPr>
        <w:tab/>
        <w:t>864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Медичне страхування</w:t>
      </w:r>
      <w:r>
        <w:rPr>
          <w:rFonts w:ascii="Times New Roman CYR" w:hAnsi="Times New Roman CYR" w:cs="Times New Roman CYR"/>
          <w:sz w:val="24"/>
          <w:szCs w:val="24"/>
        </w:rPr>
        <w:tab/>
        <w:t xml:space="preserve">                                                                                        29</w:t>
      </w:r>
      <w:r>
        <w:rPr>
          <w:rFonts w:ascii="Times New Roman CYR" w:hAnsi="Times New Roman CYR" w:cs="Times New Roman CYR"/>
          <w:sz w:val="24"/>
          <w:szCs w:val="24"/>
        </w:rPr>
        <w:tab/>
      </w:r>
      <w:r>
        <w:rPr>
          <w:rFonts w:ascii="Times New Roman CYR" w:hAnsi="Times New Roman CYR" w:cs="Times New Roman CYR"/>
          <w:sz w:val="24"/>
          <w:szCs w:val="24"/>
        </w:rPr>
        <w:tab/>
        <w:t>373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Нарахованi лiкарнянi за першi 5 днiв тимчасової непрацездатностi                      235</w:t>
      </w:r>
      <w:r>
        <w:rPr>
          <w:rFonts w:ascii="Times New Roman CYR" w:hAnsi="Times New Roman CYR" w:cs="Times New Roman CYR"/>
          <w:sz w:val="24"/>
          <w:szCs w:val="24"/>
        </w:rPr>
        <w:tab/>
      </w:r>
      <w:r>
        <w:rPr>
          <w:rFonts w:ascii="Times New Roman CYR" w:hAnsi="Times New Roman CYR" w:cs="Times New Roman CYR"/>
          <w:sz w:val="24"/>
          <w:szCs w:val="24"/>
        </w:rPr>
        <w:tab/>
        <w:t>158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витрати операцiйної дiяльностi                                              </w:t>
      </w:r>
      <w:r>
        <w:rPr>
          <w:rFonts w:ascii="Times New Roman CYR" w:hAnsi="Times New Roman CYR" w:cs="Times New Roman CYR"/>
          <w:sz w:val="24"/>
          <w:szCs w:val="24"/>
        </w:rPr>
        <w:tab/>
        <w:t xml:space="preserve">                    1 338</w:t>
      </w:r>
      <w:r>
        <w:rPr>
          <w:rFonts w:ascii="Times New Roman CYR" w:hAnsi="Times New Roman CYR" w:cs="Times New Roman CYR"/>
          <w:sz w:val="24"/>
          <w:szCs w:val="24"/>
        </w:rPr>
        <w:tab/>
      </w:r>
      <w:r>
        <w:rPr>
          <w:rFonts w:ascii="Times New Roman CYR" w:hAnsi="Times New Roman CYR" w:cs="Times New Roman CYR"/>
          <w:sz w:val="24"/>
          <w:szCs w:val="24"/>
        </w:rPr>
        <w:tab/>
        <w:t>2 480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витрати:</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r>
      <w:r>
        <w:rPr>
          <w:rFonts w:ascii="Times New Roman CYR" w:hAnsi="Times New Roman CYR" w:cs="Times New Roman CYR"/>
          <w:sz w:val="24"/>
          <w:szCs w:val="24"/>
        </w:rPr>
        <w:tab/>
        <w:t>34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лiквiдацiю та уцiнку ОЗ</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r>
      <w:r>
        <w:rPr>
          <w:rFonts w:ascii="Times New Roman CYR" w:hAnsi="Times New Roman CYR" w:cs="Times New Roman CYR"/>
          <w:sz w:val="24"/>
          <w:szCs w:val="24"/>
        </w:rPr>
        <w:tab/>
        <w:t>34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21 207</w:t>
      </w:r>
      <w:r>
        <w:rPr>
          <w:rFonts w:ascii="Times New Roman CYR" w:hAnsi="Times New Roman CYR" w:cs="Times New Roman CYR"/>
          <w:sz w:val="24"/>
          <w:szCs w:val="24"/>
        </w:rPr>
        <w:tab/>
      </w:r>
      <w:r>
        <w:rPr>
          <w:rFonts w:ascii="Times New Roman CYR" w:hAnsi="Times New Roman CYR" w:cs="Times New Roman CYR"/>
          <w:sz w:val="24"/>
          <w:szCs w:val="24"/>
        </w:rPr>
        <w:tab/>
        <w:t>46 340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витрати: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витрати за довгостроковими зобов'язаннями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(нарахована амортизацiя дисконту при розрахунку теперiшньої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вартостi по пенсiйним забезпеченням пiльгових категорiй працiвникiв)</w:t>
      </w:r>
      <w:r>
        <w:rPr>
          <w:rFonts w:ascii="Times New Roman CYR" w:hAnsi="Times New Roman CYR" w:cs="Times New Roman CYR"/>
          <w:sz w:val="24"/>
          <w:szCs w:val="24"/>
        </w:rPr>
        <w:tab/>
        <w:t xml:space="preserve">    1 768</w:t>
      </w:r>
      <w:r>
        <w:rPr>
          <w:rFonts w:ascii="Times New Roman CYR" w:hAnsi="Times New Roman CYR" w:cs="Times New Roman CYR"/>
          <w:sz w:val="24"/>
          <w:szCs w:val="24"/>
        </w:rPr>
        <w:tab/>
      </w:r>
      <w:r>
        <w:rPr>
          <w:rFonts w:ascii="Times New Roman CYR" w:hAnsi="Times New Roman CYR" w:cs="Times New Roman CYR"/>
          <w:sz w:val="24"/>
          <w:szCs w:val="24"/>
        </w:rPr>
        <w:tab/>
        <w:t>1 680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1 768</w:t>
      </w:r>
      <w:r>
        <w:rPr>
          <w:rFonts w:ascii="Times New Roman CYR" w:hAnsi="Times New Roman CYR" w:cs="Times New Roman CYR"/>
          <w:sz w:val="24"/>
          <w:szCs w:val="24"/>
        </w:rPr>
        <w:tab/>
      </w:r>
      <w:r>
        <w:rPr>
          <w:rFonts w:ascii="Times New Roman CYR" w:hAnsi="Times New Roman CYR" w:cs="Times New Roman CYR"/>
          <w:sz w:val="24"/>
          <w:szCs w:val="24"/>
        </w:rPr>
        <w:tab/>
        <w:t>1 680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Податок на прибуток</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Складовi доходу з податку на прибуток за рiк, що закiнчився 31 грудня були такими: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2024р.</w:t>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Поточний податок на прибуток</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на прибуток , пов'язаний з виникненням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 сторнуванням тимчасових рiзниць</w:t>
      </w:r>
      <w:r>
        <w:rPr>
          <w:rFonts w:ascii="Times New Roman CYR" w:hAnsi="Times New Roman CYR" w:cs="Times New Roman CYR"/>
          <w:sz w:val="24"/>
          <w:szCs w:val="24"/>
        </w:rPr>
        <w:tab/>
        <w:t xml:space="preserve">                                                                      1 092</w:t>
      </w:r>
      <w:r>
        <w:rPr>
          <w:rFonts w:ascii="Times New Roman CYR" w:hAnsi="Times New Roman CYR" w:cs="Times New Roman CYR"/>
          <w:sz w:val="24"/>
          <w:szCs w:val="24"/>
        </w:rPr>
        <w:tab/>
      </w:r>
      <w:r>
        <w:rPr>
          <w:rFonts w:ascii="Times New Roman CYR" w:hAnsi="Times New Roman CYR" w:cs="Times New Roman CYR"/>
          <w:sz w:val="24"/>
          <w:szCs w:val="24"/>
        </w:rPr>
        <w:tab/>
        <w:t>1 982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w:t>
      </w:r>
      <w:r>
        <w:rPr>
          <w:rFonts w:ascii="Times New Roman CYR" w:hAnsi="Times New Roman CYR" w:cs="Times New Roman CYR"/>
          <w:sz w:val="24"/>
          <w:szCs w:val="24"/>
        </w:rPr>
        <w:tab/>
        <w:t xml:space="preserve">                                                                                                                      1 092</w:t>
      </w:r>
      <w:r>
        <w:rPr>
          <w:rFonts w:ascii="Times New Roman CYR" w:hAnsi="Times New Roman CYR" w:cs="Times New Roman CYR"/>
          <w:sz w:val="24"/>
          <w:szCs w:val="24"/>
        </w:rPr>
        <w:tab/>
      </w:r>
      <w:r>
        <w:rPr>
          <w:rFonts w:ascii="Times New Roman CYR" w:hAnsi="Times New Roman CYR" w:cs="Times New Roman CYR"/>
          <w:sz w:val="24"/>
          <w:szCs w:val="24"/>
        </w:rPr>
        <w:tab/>
        <w:t>1 982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Узгодження мiж сумою витрат з податку на прибуток вiд звичайної дiяльностi та добутком бухгалтерського прибутку до оподаткування i нормативної ставки податку на прибуток за роки, що закiнчилися 31 грудня: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 р.</w:t>
      </w:r>
      <w:r>
        <w:rPr>
          <w:rFonts w:ascii="Times New Roman CYR" w:hAnsi="Times New Roman CYR" w:cs="Times New Roman CYR"/>
          <w:sz w:val="24"/>
          <w:szCs w:val="24"/>
        </w:rPr>
        <w:tab/>
      </w:r>
      <w:r>
        <w:rPr>
          <w:rFonts w:ascii="Times New Roman CYR" w:hAnsi="Times New Roman CYR" w:cs="Times New Roman CYR"/>
          <w:sz w:val="24"/>
          <w:szCs w:val="24"/>
        </w:rPr>
        <w:tab/>
        <w:t>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Бухгалтерський прибуток (збиток) до оподаткування</w:t>
      </w:r>
      <w:r>
        <w:rPr>
          <w:rFonts w:ascii="Times New Roman CYR" w:hAnsi="Times New Roman CYR" w:cs="Times New Roman CYR"/>
          <w:sz w:val="24"/>
          <w:szCs w:val="24"/>
        </w:rPr>
        <w:tab/>
        <w:t xml:space="preserve">   (19 360)</w:t>
      </w:r>
      <w:r>
        <w:rPr>
          <w:rFonts w:ascii="Times New Roman CYR" w:hAnsi="Times New Roman CYR" w:cs="Times New Roman CYR"/>
          <w:sz w:val="24"/>
          <w:szCs w:val="24"/>
        </w:rPr>
        <w:tab/>
      </w:r>
      <w:r>
        <w:rPr>
          <w:rFonts w:ascii="Times New Roman CYR" w:hAnsi="Times New Roman CYR" w:cs="Times New Roman CYR"/>
          <w:sz w:val="24"/>
          <w:szCs w:val="24"/>
        </w:rPr>
        <w:tab/>
        <w:t>(30 282)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нормативною ставкою податку на прибуток 18%             (3 485)</w:t>
      </w:r>
      <w:r>
        <w:rPr>
          <w:rFonts w:ascii="Times New Roman CYR" w:hAnsi="Times New Roman CYR" w:cs="Times New Roman CYR"/>
          <w:sz w:val="24"/>
          <w:szCs w:val="24"/>
        </w:rPr>
        <w:tab/>
      </w:r>
      <w:r>
        <w:rPr>
          <w:rFonts w:ascii="Times New Roman CYR" w:hAnsi="Times New Roman CYR" w:cs="Times New Roman CYR"/>
          <w:sz w:val="24"/>
          <w:szCs w:val="24"/>
        </w:rPr>
        <w:tab/>
        <w:t xml:space="preserve">                 (5 451)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Ефект постiйних рiзниць, що не оподатковуються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або  не вираховуються для цiлей оподаткування </w:t>
      </w:r>
      <w:r>
        <w:rPr>
          <w:rFonts w:ascii="Times New Roman CYR" w:hAnsi="Times New Roman CYR" w:cs="Times New Roman CYR"/>
          <w:sz w:val="24"/>
          <w:szCs w:val="24"/>
        </w:rPr>
        <w:tab/>
        <w:t xml:space="preserve">     4577</w:t>
      </w:r>
      <w:r>
        <w:rPr>
          <w:rFonts w:ascii="Times New Roman CYR" w:hAnsi="Times New Roman CYR" w:cs="Times New Roman CYR"/>
          <w:sz w:val="24"/>
          <w:szCs w:val="24"/>
        </w:rPr>
        <w:tab/>
      </w:r>
      <w:r>
        <w:rPr>
          <w:rFonts w:ascii="Times New Roman CYR" w:hAnsi="Times New Roman CYR" w:cs="Times New Roman CYR"/>
          <w:sz w:val="24"/>
          <w:szCs w:val="24"/>
        </w:rPr>
        <w:tab/>
        <w:t xml:space="preserve">                  7433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(18 268)</w:t>
      </w:r>
      <w:r>
        <w:rPr>
          <w:rFonts w:ascii="Times New Roman CYR" w:hAnsi="Times New Roman CYR" w:cs="Times New Roman CYR"/>
          <w:sz w:val="24"/>
          <w:szCs w:val="24"/>
        </w:rPr>
        <w:tab/>
      </w:r>
      <w:r>
        <w:rPr>
          <w:rFonts w:ascii="Times New Roman CYR" w:hAnsi="Times New Roman CYR" w:cs="Times New Roman CYR"/>
          <w:sz w:val="24"/>
          <w:szCs w:val="24"/>
        </w:rPr>
        <w:tab/>
        <w:t>(28 300)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Станом на 31 грудня 2024р. та 31 грудня 2023р. вiдстрочений податок на прибуток виник за такими статтями: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сiчня                     2023р.</w:t>
      </w:r>
      <w:r>
        <w:rPr>
          <w:rFonts w:ascii="Times New Roman CYR" w:hAnsi="Times New Roman CYR" w:cs="Times New Roman CYR"/>
          <w:sz w:val="24"/>
          <w:szCs w:val="24"/>
        </w:rPr>
        <w:tab/>
      </w:r>
      <w:r>
        <w:rPr>
          <w:rFonts w:ascii="Times New Roman CYR" w:hAnsi="Times New Roman CYR" w:cs="Times New Roman CYR"/>
          <w:sz w:val="24"/>
          <w:szCs w:val="24"/>
        </w:rPr>
        <w:tab/>
        <w:t>Визнано у звiтi про фiнансовi результати</w:t>
      </w:r>
      <w:r>
        <w:rPr>
          <w:rFonts w:ascii="Times New Roman CYR" w:hAnsi="Times New Roman CYR" w:cs="Times New Roman CYR"/>
          <w:sz w:val="24"/>
          <w:szCs w:val="24"/>
        </w:rPr>
        <w:tab/>
      </w:r>
      <w:r>
        <w:rPr>
          <w:rFonts w:ascii="Times New Roman CYR" w:hAnsi="Times New Roman CYR" w:cs="Times New Roman CYR"/>
          <w:sz w:val="24"/>
          <w:szCs w:val="24"/>
        </w:rPr>
        <w:tab/>
        <w:t>Визнано у сукупному доходi</w:t>
      </w:r>
      <w:r>
        <w:rPr>
          <w:rFonts w:ascii="Times New Roman CYR" w:hAnsi="Times New Roman CYR" w:cs="Times New Roman CYR"/>
          <w:sz w:val="24"/>
          <w:szCs w:val="24"/>
        </w:rPr>
        <w:tab/>
      </w:r>
      <w:r>
        <w:rPr>
          <w:rFonts w:ascii="Times New Roman CYR" w:hAnsi="Times New Roman CYR" w:cs="Times New Roman CYR"/>
          <w:sz w:val="24"/>
          <w:szCs w:val="24"/>
        </w:rPr>
        <w:tab/>
        <w:t>31 грудня               2023р.</w:t>
      </w:r>
      <w:r>
        <w:rPr>
          <w:rFonts w:ascii="Times New Roman CYR" w:hAnsi="Times New Roman CYR" w:cs="Times New Roman CYR"/>
          <w:sz w:val="24"/>
          <w:szCs w:val="24"/>
        </w:rPr>
        <w:tab/>
      </w:r>
      <w:r>
        <w:rPr>
          <w:rFonts w:ascii="Times New Roman CYR" w:hAnsi="Times New Roman CYR" w:cs="Times New Roman CYR"/>
          <w:sz w:val="24"/>
          <w:szCs w:val="24"/>
        </w:rPr>
        <w:tab/>
        <w:t>Визнано у звiтi про фiнансовi результати</w:t>
      </w:r>
      <w:r>
        <w:rPr>
          <w:rFonts w:ascii="Times New Roman CYR" w:hAnsi="Times New Roman CYR" w:cs="Times New Roman CYR"/>
          <w:sz w:val="24"/>
          <w:szCs w:val="24"/>
        </w:rPr>
        <w:tab/>
      </w:r>
      <w:r>
        <w:rPr>
          <w:rFonts w:ascii="Times New Roman CYR" w:hAnsi="Times New Roman CYR" w:cs="Times New Roman CYR"/>
          <w:sz w:val="24"/>
          <w:szCs w:val="24"/>
        </w:rPr>
        <w:tab/>
        <w:t>Визнано у сукупному доходi</w:t>
      </w:r>
      <w:r>
        <w:rPr>
          <w:rFonts w:ascii="Times New Roman CYR" w:hAnsi="Times New Roman CYR" w:cs="Times New Roman CYR"/>
          <w:sz w:val="24"/>
          <w:szCs w:val="24"/>
        </w:rPr>
        <w:tab/>
      </w:r>
      <w:r>
        <w:rPr>
          <w:rFonts w:ascii="Times New Roman CYR" w:hAnsi="Times New Roman CYR" w:cs="Times New Roman CYR"/>
          <w:sz w:val="24"/>
          <w:szCs w:val="24"/>
        </w:rPr>
        <w:tab/>
        <w:t>31 грудня               2024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податковий актив: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нематерiальнi активи</w:t>
      </w:r>
      <w:r>
        <w:rPr>
          <w:rFonts w:ascii="Times New Roman CYR" w:hAnsi="Times New Roman CYR" w:cs="Times New Roman CYR"/>
          <w:sz w:val="24"/>
          <w:szCs w:val="24"/>
        </w:rPr>
        <w:tab/>
        <w:t>2 649</w:t>
      </w:r>
      <w:r>
        <w:rPr>
          <w:rFonts w:ascii="Times New Roman CYR" w:hAnsi="Times New Roman CYR" w:cs="Times New Roman CYR"/>
          <w:sz w:val="24"/>
          <w:szCs w:val="24"/>
        </w:rPr>
        <w:tab/>
        <w:t>777</w:t>
      </w:r>
      <w:r>
        <w:rPr>
          <w:rFonts w:ascii="Times New Roman CYR" w:hAnsi="Times New Roman CYR" w:cs="Times New Roman CYR"/>
          <w:sz w:val="24"/>
          <w:szCs w:val="24"/>
        </w:rPr>
        <w:tab/>
        <w:t xml:space="preserve">3 426 </w:t>
      </w:r>
      <w:r>
        <w:rPr>
          <w:rFonts w:ascii="Times New Roman CYR" w:hAnsi="Times New Roman CYR" w:cs="Times New Roman CYR"/>
          <w:sz w:val="24"/>
          <w:szCs w:val="24"/>
        </w:rPr>
        <w:tab/>
      </w:r>
      <w:r>
        <w:rPr>
          <w:rFonts w:ascii="Times New Roman CYR" w:hAnsi="Times New Roman CYR" w:cs="Times New Roman CYR"/>
          <w:sz w:val="24"/>
          <w:szCs w:val="24"/>
        </w:rPr>
        <w:tab/>
        <w:t>993</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4 419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зобов'язання та резерви</w:t>
      </w:r>
      <w:r>
        <w:rPr>
          <w:rFonts w:ascii="Times New Roman CYR" w:hAnsi="Times New Roman CYR" w:cs="Times New Roman CYR"/>
          <w:sz w:val="24"/>
          <w:szCs w:val="24"/>
        </w:rPr>
        <w:tab/>
        <w:t xml:space="preserve">                   222</w:t>
      </w:r>
      <w:r>
        <w:rPr>
          <w:rFonts w:ascii="Times New Roman CYR" w:hAnsi="Times New Roman CYR" w:cs="Times New Roman CYR"/>
          <w:sz w:val="24"/>
          <w:szCs w:val="24"/>
        </w:rPr>
        <w:tab/>
        <w:t>483</w:t>
      </w:r>
      <w:r>
        <w:rPr>
          <w:rFonts w:ascii="Times New Roman CYR" w:hAnsi="Times New Roman CYR" w:cs="Times New Roman CYR"/>
          <w:sz w:val="24"/>
          <w:szCs w:val="24"/>
        </w:rPr>
        <w:tab/>
        <w:t>705</w:t>
      </w:r>
      <w:r>
        <w:rPr>
          <w:rFonts w:ascii="Times New Roman CYR" w:hAnsi="Times New Roman CYR" w:cs="Times New Roman CYR"/>
          <w:sz w:val="24"/>
          <w:szCs w:val="24"/>
        </w:rPr>
        <w:tab/>
      </w:r>
      <w:r>
        <w:rPr>
          <w:rFonts w:ascii="Times New Roman CYR" w:hAnsi="Times New Roman CYR" w:cs="Times New Roman CYR"/>
          <w:sz w:val="24"/>
          <w:szCs w:val="24"/>
        </w:rPr>
        <w:tab/>
        <w:t>(28)</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677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сумнiвних боргiв</w:t>
      </w:r>
      <w:r>
        <w:rPr>
          <w:rFonts w:ascii="Times New Roman CYR" w:hAnsi="Times New Roman CYR" w:cs="Times New Roman CYR"/>
          <w:sz w:val="24"/>
          <w:szCs w:val="24"/>
        </w:rPr>
        <w:tab/>
        <w:t xml:space="preserve">                                   218</w:t>
      </w:r>
      <w:r>
        <w:rPr>
          <w:rFonts w:ascii="Times New Roman CYR" w:hAnsi="Times New Roman CYR" w:cs="Times New Roman CYR"/>
          <w:sz w:val="24"/>
          <w:szCs w:val="24"/>
        </w:rPr>
        <w:tab/>
        <w:t>721</w:t>
      </w:r>
      <w:r>
        <w:rPr>
          <w:rFonts w:ascii="Times New Roman CYR" w:hAnsi="Times New Roman CYR" w:cs="Times New Roman CYR"/>
          <w:sz w:val="24"/>
          <w:szCs w:val="24"/>
        </w:rPr>
        <w:tab/>
        <w:t>939</w:t>
      </w:r>
      <w:r>
        <w:rPr>
          <w:rFonts w:ascii="Times New Roman CYR" w:hAnsi="Times New Roman CYR" w:cs="Times New Roman CYR"/>
          <w:sz w:val="24"/>
          <w:szCs w:val="24"/>
        </w:rPr>
        <w:tab/>
      </w:r>
      <w:r>
        <w:rPr>
          <w:rFonts w:ascii="Times New Roman CYR" w:hAnsi="Times New Roman CYR" w:cs="Times New Roman CYR"/>
          <w:sz w:val="24"/>
          <w:szCs w:val="24"/>
        </w:rPr>
        <w:tab/>
        <w:t>127</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1 066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3 089     1 981</w:t>
      </w:r>
      <w:r>
        <w:rPr>
          <w:rFonts w:ascii="Times New Roman CYR" w:hAnsi="Times New Roman CYR" w:cs="Times New Roman CYR"/>
          <w:sz w:val="24"/>
          <w:szCs w:val="24"/>
        </w:rPr>
        <w:tab/>
        <w:t>5 070</w:t>
      </w:r>
      <w:r>
        <w:rPr>
          <w:rFonts w:ascii="Times New Roman CYR" w:hAnsi="Times New Roman CYR" w:cs="Times New Roman CYR"/>
          <w:sz w:val="24"/>
          <w:szCs w:val="24"/>
        </w:rPr>
        <w:tab/>
      </w:r>
      <w:r>
        <w:rPr>
          <w:rFonts w:ascii="Times New Roman CYR" w:hAnsi="Times New Roman CYR" w:cs="Times New Roman CYR"/>
          <w:sz w:val="24"/>
          <w:szCs w:val="24"/>
        </w:rPr>
        <w:tab/>
        <w:t>1 092</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6 162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Матерiальна складова в залишках готової продукцiї</w:t>
      </w:r>
      <w:r>
        <w:rPr>
          <w:rFonts w:ascii="Times New Roman CYR" w:hAnsi="Times New Roman CYR" w:cs="Times New Roman CYR"/>
          <w:sz w:val="24"/>
          <w:szCs w:val="24"/>
        </w:rPr>
        <w:tab/>
        <w:t>3</w:t>
      </w:r>
      <w:r>
        <w:rPr>
          <w:rFonts w:ascii="Times New Roman CYR" w:hAnsi="Times New Roman CYR" w:cs="Times New Roman CYR"/>
          <w:sz w:val="24"/>
          <w:szCs w:val="24"/>
        </w:rPr>
        <w:tab/>
        <w:t>-</w:t>
      </w:r>
      <w:r>
        <w:rPr>
          <w:rFonts w:ascii="Times New Roman CYR" w:hAnsi="Times New Roman CYR" w:cs="Times New Roman CYR"/>
          <w:sz w:val="24"/>
          <w:szCs w:val="24"/>
        </w:rPr>
        <w:tab/>
        <w:t>3</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                  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3</w:t>
      </w:r>
      <w:r>
        <w:rPr>
          <w:rFonts w:ascii="Times New Roman CYR" w:hAnsi="Times New Roman CYR" w:cs="Times New Roman CYR"/>
          <w:sz w:val="24"/>
          <w:szCs w:val="24"/>
        </w:rPr>
        <w:tab/>
        <w:t>-</w:t>
      </w:r>
      <w:r>
        <w:rPr>
          <w:rFonts w:ascii="Times New Roman CYR" w:hAnsi="Times New Roman CYR" w:cs="Times New Roman CYR"/>
          <w:sz w:val="24"/>
          <w:szCs w:val="24"/>
        </w:rPr>
        <w:tab/>
        <w:t>3</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3</w:t>
      </w:r>
      <w:r>
        <w:rPr>
          <w:rFonts w:ascii="Times New Roman CYR" w:hAnsi="Times New Roman CYR" w:cs="Times New Roman CYR"/>
          <w:sz w:val="24"/>
          <w:szCs w:val="24"/>
        </w:rPr>
        <w:tab/>
      </w:r>
      <w:r>
        <w:rPr>
          <w:rFonts w:ascii="Times New Roman CYR" w:hAnsi="Times New Roman CYR" w:cs="Times New Roman CYR"/>
          <w:sz w:val="24"/>
          <w:szCs w:val="24"/>
        </w:rPr>
        <w:tab/>
        <w:t>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Податок на прибуток/збиток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Чисте вiдстрочене податкове зобов'язання:актив    3 086        1 981</w:t>
      </w:r>
      <w:r>
        <w:rPr>
          <w:rFonts w:ascii="Times New Roman CYR" w:hAnsi="Times New Roman CYR" w:cs="Times New Roman CYR"/>
          <w:sz w:val="24"/>
          <w:szCs w:val="24"/>
        </w:rPr>
        <w:tab/>
        <w:t>5067</w:t>
      </w:r>
      <w:r>
        <w:rPr>
          <w:rFonts w:ascii="Times New Roman CYR" w:hAnsi="Times New Roman CYR" w:cs="Times New Roman CYR"/>
          <w:sz w:val="24"/>
          <w:szCs w:val="24"/>
        </w:rPr>
        <w:tab/>
        <w:t>1 092</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6 159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Товариство не включала до розрахунку отриманi податковi збитки у зв'язку iз вiдсутнiстю  достатнiх тимчасовi рiзницi, що пiдлягають оподаткуванню. Товариство залiковує податковi активи та зобов'язання тiльки тодi, коли вона має юридично закрiплене право залiку поточних податкових активiв i зобов'язань, i вiдстроченi податковi активи та вiдстроченi податковi зобов'язання стосуються податкiв на прибуток, що стягуються тим самим податковим органом.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Основнi засоби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балансовiй вартостi основних засобiв та незавершеного будiвництва вiдбулися такi змiни: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Земля</w:t>
      </w:r>
      <w:r>
        <w:rPr>
          <w:rFonts w:ascii="Times New Roman CYR" w:hAnsi="Times New Roman CYR" w:cs="Times New Roman CYR"/>
          <w:sz w:val="24"/>
          <w:szCs w:val="24"/>
        </w:rPr>
        <w:tab/>
        <w:t>Будiвлi та   споруди</w:t>
      </w:r>
      <w:r>
        <w:rPr>
          <w:rFonts w:ascii="Times New Roman CYR" w:hAnsi="Times New Roman CYR" w:cs="Times New Roman CYR"/>
          <w:sz w:val="24"/>
          <w:szCs w:val="24"/>
        </w:rPr>
        <w:tab/>
        <w:t>Машини та    виробниче обладнання</w:t>
      </w:r>
      <w:r>
        <w:rPr>
          <w:rFonts w:ascii="Times New Roman CYR" w:hAnsi="Times New Roman CYR" w:cs="Times New Roman CYR"/>
          <w:sz w:val="24"/>
          <w:szCs w:val="24"/>
        </w:rPr>
        <w:tab/>
        <w:t>Транспортнi засоби</w:t>
      </w:r>
      <w:r>
        <w:rPr>
          <w:rFonts w:ascii="Times New Roman CYR" w:hAnsi="Times New Roman CYR" w:cs="Times New Roman CYR"/>
          <w:sz w:val="24"/>
          <w:szCs w:val="24"/>
        </w:rPr>
        <w:tab/>
        <w:t>Iнструменти та iнвентар</w:t>
      </w:r>
      <w:r>
        <w:rPr>
          <w:rFonts w:ascii="Times New Roman CYR" w:hAnsi="Times New Roman CYR" w:cs="Times New Roman CYR"/>
          <w:sz w:val="24"/>
          <w:szCs w:val="24"/>
        </w:rPr>
        <w:tab/>
        <w:t>Iншi основнi засоби</w:t>
      </w:r>
      <w:r>
        <w:rPr>
          <w:rFonts w:ascii="Times New Roman CYR" w:hAnsi="Times New Roman CYR" w:cs="Times New Roman CYR"/>
          <w:sz w:val="24"/>
          <w:szCs w:val="24"/>
        </w:rPr>
        <w:tab/>
        <w:t>Iнвентарна тара</w:t>
      </w:r>
      <w:r>
        <w:rPr>
          <w:rFonts w:ascii="Times New Roman CYR" w:hAnsi="Times New Roman CYR" w:cs="Times New Roman CYR"/>
          <w:sz w:val="24"/>
          <w:szCs w:val="24"/>
        </w:rPr>
        <w:tab/>
        <w:t>Всього основних засобiв</w:t>
      </w:r>
      <w:r>
        <w:rPr>
          <w:rFonts w:ascii="Times New Roman CYR" w:hAnsi="Times New Roman CYR" w:cs="Times New Roman CYR"/>
          <w:sz w:val="24"/>
          <w:szCs w:val="24"/>
        </w:rPr>
        <w:tab/>
        <w:t>Незавершенi  капiтальнi iнвестицiї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01 сiчня 2023р.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або умовна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25036</w:t>
      </w:r>
      <w:r>
        <w:rPr>
          <w:rFonts w:ascii="Times New Roman CYR" w:hAnsi="Times New Roman CYR" w:cs="Times New Roman CYR"/>
          <w:sz w:val="24"/>
          <w:szCs w:val="24"/>
        </w:rPr>
        <w:tab/>
        <w:t>104249</w:t>
      </w:r>
      <w:r>
        <w:rPr>
          <w:rFonts w:ascii="Times New Roman CYR" w:hAnsi="Times New Roman CYR" w:cs="Times New Roman CYR"/>
          <w:sz w:val="24"/>
          <w:szCs w:val="24"/>
        </w:rPr>
        <w:tab/>
        <w:t>9452</w:t>
      </w:r>
      <w:r>
        <w:rPr>
          <w:rFonts w:ascii="Times New Roman CYR" w:hAnsi="Times New Roman CYR" w:cs="Times New Roman CYR"/>
          <w:sz w:val="24"/>
          <w:szCs w:val="24"/>
        </w:rPr>
        <w:tab/>
        <w:t>2372</w:t>
      </w:r>
      <w:r>
        <w:rPr>
          <w:rFonts w:ascii="Times New Roman CYR" w:hAnsi="Times New Roman CYR" w:cs="Times New Roman CYR"/>
          <w:sz w:val="24"/>
          <w:szCs w:val="24"/>
        </w:rPr>
        <w:tab/>
        <w:t>12</w:t>
      </w:r>
      <w:r>
        <w:rPr>
          <w:rFonts w:ascii="Times New Roman CYR" w:hAnsi="Times New Roman CYR" w:cs="Times New Roman CYR"/>
          <w:sz w:val="24"/>
          <w:szCs w:val="24"/>
        </w:rPr>
        <w:tab/>
        <w:t>273</w:t>
      </w:r>
      <w:r>
        <w:rPr>
          <w:rFonts w:ascii="Times New Roman CYR" w:hAnsi="Times New Roman CYR" w:cs="Times New Roman CYR"/>
          <w:sz w:val="24"/>
          <w:szCs w:val="24"/>
        </w:rPr>
        <w:tab/>
        <w:t>141394</w:t>
      </w:r>
      <w:r>
        <w:rPr>
          <w:rFonts w:ascii="Times New Roman CYR" w:hAnsi="Times New Roman CYR" w:cs="Times New Roman CYR"/>
          <w:sz w:val="24"/>
          <w:szCs w:val="24"/>
        </w:rPr>
        <w:tab/>
        <w:t>3368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Накопичений знос</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(9811)</w:t>
      </w:r>
      <w:r>
        <w:rPr>
          <w:rFonts w:ascii="Times New Roman CYR" w:hAnsi="Times New Roman CYR" w:cs="Times New Roman CYR"/>
          <w:sz w:val="24"/>
          <w:szCs w:val="24"/>
        </w:rPr>
        <w:tab/>
        <w:t>(50534)</w:t>
      </w:r>
      <w:r>
        <w:rPr>
          <w:rFonts w:ascii="Times New Roman CYR" w:hAnsi="Times New Roman CYR" w:cs="Times New Roman CYR"/>
          <w:sz w:val="24"/>
          <w:szCs w:val="24"/>
        </w:rPr>
        <w:tab/>
        <w:t>(1856)</w:t>
      </w:r>
      <w:r>
        <w:rPr>
          <w:rFonts w:ascii="Times New Roman CYR" w:hAnsi="Times New Roman CYR" w:cs="Times New Roman CYR"/>
          <w:sz w:val="24"/>
          <w:szCs w:val="24"/>
        </w:rPr>
        <w:tab/>
        <w:t>(1261)</w:t>
      </w:r>
      <w:r>
        <w:rPr>
          <w:rFonts w:ascii="Times New Roman CYR" w:hAnsi="Times New Roman CYR" w:cs="Times New Roman CYR"/>
          <w:sz w:val="24"/>
          <w:szCs w:val="24"/>
        </w:rPr>
        <w:tab/>
        <w:t>(12)</w:t>
      </w:r>
      <w:r>
        <w:rPr>
          <w:rFonts w:ascii="Times New Roman CYR" w:hAnsi="Times New Roman CYR" w:cs="Times New Roman CYR"/>
          <w:sz w:val="24"/>
          <w:szCs w:val="24"/>
        </w:rPr>
        <w:tab/>
        <w:t>(165)</w:t>
      </w:r>
      <w:r>
        <w:rPr>
          <w:rFonts w:ascii="Times New Roman CYR" w:hAnsi="Times New Roman CYR" w:cs="Times New Roman CYR"/>
          <w:sz w:val="24"/>
          <w:szCs w:val="24"/>
        </w:rPr>
        <w:tab/>
        <w:t>(63639)</w:t>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вартiстьна 01 сiчня 2023р.</w:t>
      </w:r>
      <w:r>
        <w:rPr>
          <w:rFonts w:ascii="Times New Roman CYR" w:hAnsi="Times New Roman CYR" w:cs="Times New Roman CYR"/>
          <w:sz w:val="24"/>
          <w:szCs w:val="24"/>
        </w:rPr>
        <w:tab/>
        <w:t>-</w:t>
      </w:r>
      <w:r>
        <w:rPr>
          <w:rFonts w:ascii="Times New Roman CYR" w:hAnsi="Times New Roman CYR" w:cs="Times New Roman CYR"/>
          <w:sz w:val="24"/>
          <w:szCs w:val="24"/>
        </w:rPr>
        <w:tab/>
        <w:t>15225</w:t>
      </w:r>
      <w:r>
        <w:rPr>
          <w:rFonts w:ascii="Times New Roman CYR" w:hAnsi="Times New Roman CYR" w:cs="Times New Roman CYR"/>
          <w:sz w:val="24"/>
          <w:szCs w:val="24"/>
        </w:rPr>
        <w:tab/>
        <w:t>53716</w:t>
      </w:r>
      <w:r>
        <w:rPr>
          <w:rFonts w:ascii="Times New Roman CYR" w:hAnsi="Times New Roman CYR" w:cs="Times New Roman CYR"/>
          <w:sz w:val="24"/>
          <w:szCs w:val="24"/>
        </w:rPr>
        <w:tab/>
        <w:t>7596</w:t>
      </w:r>
      <w:r>
        <w:rPr>
          <w:rFonts w:ascii="Times New Roman CYR" w:hAnsi="Times New Roman CYR" w:cs="Times New Roman CYR"/>
          <w:sz w:val="24"/>
          <w:szCs w:val="24"/>
        </w:rPr>
        <w:tab/>
        <w:t>1111</w:t>
      </w:r>
      <w:r>
        <w:rPr>
          <w:rFonts w:ascii="Times New Roman CYR" w:hAnsi="Times New Roman CYR" w:cs="Times New Roman CYR"/>
          <w:sz w:val="24"/>
          <w:szCs w:val="24"/>
        </w:rPr>
        <w:tab/>
        <w:t>0</w:t>
      </w:r>
      <w:r>
        <w:rPr>
          <w:rFonts w:ascii="Times New Roman CYR" w:hAnsi="Times New Roman CYR" w:cs="Times New Roman CYR"/>
          <w:sz w:val="24"/>
          <w:szCs w:val="24"/>
        </w:rPr>
        <w:tab/>
        <w:t>107</w:t>
      </w:r>
      <w:r>
        <w:rPr>
          <w:rFonts w:ascii="Times New Roman CYR" w:hAnsi="Times New Roman CYR" w:cs="Times New Roman CYR"/>
          <w:sz w:val="24"/>
          <w:szCs w:val="24"/>
        </w:rPr>
        <w:tab/>
        <w:t>77755</w:t>
      </w:r>
      <w:r>
        <w:rPr>
          <w:rFonts w:ascii="Times New Roman CYR" w:hAnsi="Times New Roman CYR" w:cs="Times New Roman CYR"/>
          <w:sz w:val="24"/>
          <w:szCs w:val="24"/>
        </w:rPr>
        <w:tab/>
        <w:t>3368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Надходження                         </w:t>
      </w:r>
      <w:r>
        <w:rPr>
          <w:rFonts w:ascii="Times New Roman CYR" w:hAnsi="Times New Roman CYR" w:cs="Times New Roman CYR"/>
          <w:sz w:val="24"/>
          <w:szCs w:val="24"/>
        </w:rPr>
        <w:tab/>
        <w:t>-</w:t>
      </w:r>
      <w:r>
        <w:rPr>
          <w:rFonts w:ascii="Times New Roman CYR" w:hAnsi="Times New Roman CYR" w:cs="Times New Roman CYR"/>
          <w:sz w:val="24"/>
          <w:szCs w:val="24"/>
        </w:rPr>
        <w:tab/>
        <w:t>2752</w:t>
      </w:r>
      <w:r>
        <w:rPr>
          <w:rFonts w:ascii="Times New Roman CYR" w:hAnsi="Times New Roman CYR" w:cs="Times New Roman CYR"/>
          <w:sz w:val="24"/>
          <w:szCs w:val="24"/>
        </w:rPr>
        <w:tab/>
        <w:t>1559</w:t>
      </w:r>
      <w:r>
        <w:rPr>
          <w:rFonts w:ascii="Times New Roman CYR" w:hAnsi="Times New Roman CYR" w:cs="Times New Roman CYR"/>
          <w:sz w:val="24"/>
          <w:szCs w:val="24"/>
        </w:rPr>
        <w:tab/>
        <w:t>-</w:t>
      </w:r>
      <w:r>
        <w:rPr>
          <w:rFonts w:ascii="Times New Roman CYR" w:hAnsi="Times New Roman CYR" w:cs="Times New Roman CYR"/>
          <w:sz w:val="24"/>
          <w:szCs w:val="24"/>
        </w:rPr>
        <w:tab/>
        <w:t>20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4331</w:t>
      </w:r>
      <w:r>
        <w:rPr>
          <w:rFonts w:ascii="Times New Roman CYR" w:hAnsi="Times New Roman CYR" w:cs="Times New Roman CYR"/>
          <w:sz w:val="24"/>
          <w:szCs w:val="24"/>
        </w:rPr>
        <w:tab/>
        <w:t>7075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Перемiщення (за первiсною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4331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 (за первiсною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(939)</w:t>
      </w:r>
      <w:r>
        <w:rPr>
          <w:rFonts w:ascii="Times New Roman CYR" w:hAnsi="Times New Roman CYR" w:cs="Times New Roman CYR"/>
          <w:sz w:val="24"/>
          <w:szCs w:val="24"/>
        </w:rPr>
        <w:tab/>
        <w:t>-</w:t>
      </w:r>
      <w:r>
        <w:rPr>
          <w:rFonts w:ascii="Times New Roman CYR" w:hAnsi="Times New Roman CYR" w:cs="Times New Roman CYR"/>
          <w:sz w:val="24"/>
          <w:szCs w:val="24"/>
        </w:rPr>
        <w:tab/>
        <w:t>(275)</w:t>
      </w:r>
      <w:r>
        <w:rPr>
          <w:rFonts w:ascii="Times New Roman CYR" w:hAnsi="Times New Roman CYR" w:cs="Times New Roman CYR"/>
          <w:sz w:val="24"/>
          <w:szCs w:val="24"/>
        </w:rPr>
        <w:tab/>
        <w:t>(6)</w:t>
      </w:r>
      <w:r>
        <w:rPr>
          <w:rFonts w:ascii="Times New Roman CYR" w:hAnsi="Times New Roman CYR" w:cs="Times New Roman CYR"/>
          <w:sz w:val="24"/>
          <w:szCs w:val="24"/>
        </w:rPr>
        <w:tab/>
        <w:t>(47)</w:t>
      </w:r>
      <w:r>
        <w:rPr>
          <w:rFonts w:ascii="Times New Roman CYR" w:hAnsi="Times New Roman CYR" w:cs="Times New Roman CYR"/>
          <w:sz w:val="24"/>
          <w:szCs w:val="24"/>
        </w:rPr>
        <w:tab/>
        <w:t>(1267)</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  (за накопиченим зносом)</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920</w:t>
      </w:r>
      <w:r>
        <w:rPr>
          <w:rFonts w:ascii="Times New Roman CYR" w:hAnsi="Times New Roman CYR" w:cs="Times New Roman CYR"/>
          <w:sz w:val="24"/>
          <w:szCs w:val="24"/>
        </w:rPr>
        <w:tab/>
        <w:t>-</w:t>
      </w:r>
      <w:r>
        <w:rPr>
          <w:rFonts w:ascii="Times New Roman CYR" w:hAnsi="Times New Roman CYR" w:cs="Times New Roman CYR"/>
          <w:sz w:val="24"/>
          <w:szCs w:val="24"/>
        </w:rPr>
        <w:tab/>
        <w:t>275</w:t>
      </w:r>
      <w:r>
        <w:rPr>
          <w:rFonts w:ascii="Times New Roman CYR" w:hAnsi="Times New Roman CYR" w:cs="Times New Roman CYR"/>
          <w:sz w:val="24"/>
          <w:szCs w:val="24"/>
        </w:rPr>
        <w:tab/>
        <w:t>6</w:t>
      </w:r>
      <w:r>
        <w:rPr>
          <w:rFonts w:ascii="Times New Roman CYR" w:hAnsi="Times New Roman CYR" w:cs="Times New Roman CYR"/>
          <w:sz w:val="24"/>
          <w:szCs w:val="24"/>
        </w:rPr>
        <w:tab/>
        <w:t>47</w:t>
      </w:r>
      <w:r>
        <w:rPr>
          <w:rFonts w:ascii="Times New Roman CYR" w:hAnsi="Times New Roman CYR" w:cs="Times New Roman CYR"/>
          <w:sz w:val="24"/>
          <w:szCs w:val="24"/>
        </w:rPr>
        <w:tab/>
        <w:t>1248</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Амортизацiйнi вiдрахування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(1033)</w:t>
      </w:r>
      <w:r>
        <w:rPr>
          <w:rFonts w:ascii="Times New Roman CYR" w:hAnsi="Times New Roman CYR" w:cs="Times New Roman CYR"/>
          <w:sz w:val="24"/>
          <w:szCs w:val="24"/>
        </w:rPr>
        <w:tab/>
        <w:t>(8055)</w:t>
      </w:r>
      <w:r>
        <w:rPr>
          <w:rFonts w:ascii="Times New Roman CYR" w:hAnsi="Times New Roman CYR" w:cs="Times New Roman CYR"/>
          <w:sz w:val="24"/>
          <w:szCs w:val="24"/>
        </w:rPr>
        <w:tab/>
        <w:t>(600)</w:t>
      </w:r>
      <w:r>
        <w:rPr>
          <w:rFonts w:ascii="Times New Roman CYR" w:hAnsi="Times New Roman CYR" w:cs="Times New Roman CYR"/>
          <w:sz w:val="24"/>
          <w:szCs w:val="24"/>
        </w:rPr>
        <w:tab/>
        <w:t>(283)</w:t>
      </w:r>
      <w:r>
        <w:rPr>
          <w:rFonts w:ascii="Times New Roman CYR" w:hAnsi="Times New Roman CYR" w:cs="Times New Roman CYR"/>
          <w:sz w:val="24"/>
          <w:szCs w:val="24"/>
        </w:rPr>
        <w:tab/>
        <w:t>-</w:t>
      </w:r>
      <w:r>
        <w:rPr>
          <w:rFonts w:ascii="Times New Roman CYR" w:hAnsi="Times New Roman CYR" w:cs="Times New Roman CYR"/>
          <w:sz w:val="24"/>
          <w:szCs w:val="24"/>
        </w:rPr>
        <w:tab/>
        <w:t>(38)</w:t>
      </w:r>
      <w:r>
        <w:rPr>
          <w:rFonts w:ascii="Times New Roman CYR" w:hAnsi="Times New Roman CYR" w:cs="Times New Roman CYR"/>
          <w:sz w:val="24"/>
          <w:szCs w:val="24"/>
        </w:rPr>
        <w:tab/>
        <w:t>(10009)</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31грудня2023р.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або умовна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27788</w:t>
      </w:r>
      <w:r>
        <w:rPr>
          <w:rFonts w:ascii="Times New Roman CYR" w:hAnsi="Times New Roman CYR" w:cs="Times New Roman CYR"/>
          <w:sz w:val="24"/>
          <w:szCs w:val="24"/>
        </w:rPr>
        <w:tab/>
        <w:t>104869</w:t>
      </w:r>
      <w:r>
        <w:rPr>
          <w:rFonts w:ascii="Times New Roman CYR" w:hAnsi="Times New Roman CYR" w:cs="Times New Roman CYR"/>
          <w:sz w:val="24"/>
          <w:szCs w:val="24"/>
        </w:rPr>
        <w:tab/>
        <w:t>9452</w:t>
      </w:r>
      <w:r>
        <w:rPr>
          <w:rFonts w:ascii="Times New Roman CYR" w:hAnsi="Times New Roman CYR" w:cs="Times New Roman CYR"/>
          <w:sz w:val="24"/>
          <w:szCs w:val="24"/>
        </w:rPr>
        <w:tab/>
        <w:t>2117</w:t>
      </w:r>
      <w:r>
        <w:rPr>
          <w:rFonts w:ascii="Times New Roman CYR" w:hAnsi="Times New Roman CYR" w:cs="Times New Roman CYR"/>
          <w:sz w:val="24"/>
          <w:szCs w:val="24"/>
        </w:rPr>
        <w:tab/>
        <w:t>6</w:t>
      </w:r>
      <w:r>
        <w:rPr>
          <w:rFonts w:ascii="Times New Roman CYR" w:hAnsi="Times New Roman CYR" w:cs="Times New Roman CYR"/>
          <w:sz w:val="24"/>
          <w:szCs w:val="24"/>
        </w:rPr>
        <w:tab/>
        <w:t>226</w:t>
      </w:r>
      <w:r>
        <w:rPr>
          <w:rFonts w:ascii="Times New Roman CYR" w:hAnsi="Times New Roman CYR" w:cs="Times New Roman CYR"/>
          <w:sz w:val="24"/>
          <w:szCs w:val="24"/>
        </w:rPr>
        <w:tab/>
        <w:t>144458</w:t>
      </w:r>
      <w:r>
        <w:rPr>
          <w:rFonts w:ascii="Times New Roman CYR" w:hAnsi="Times New Roman CYR" w:cs="Times New Roman CYR"/>
          <w:sz w:val="24"/>
          <w:szCs w:val="24"/>
        </w:rPr>
        <w:tab/>
        <w:t>6112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Накопичений знос</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(10844)</w:t>
      </w:r>
      <w:r>
        <w:rPr>
          <w:rFonts w:ascii="Times New Roman CYR" w:hAnsi="Times New Roman CYR" w:cs="Times New Roman CYR"/>
          <w:sz w:val="24"/>
          <w:szCs w:val="24"/>
        </w:rPr>
        <w:tab/>
        <w:t>(57669)</w:t>
      </w:r>
      <w:r>
        <w:rPr>
          <w:rFonts w:ascii="Times New Roman CYR" w:hAnsi="Times New Roman CYR" w:cs="Times New Roman CYR"/>
          <w:sz w:val="24"/>
          <w:szCs w:val="24"/>
        </w:rPr>
        <w:tab/>
        <w:t>(2456)</w:t>
      </w:r>
      <w:r>
        <w:rPr>
          <w:rFonts w:ascii="Times New Roman CYR" w:hAnsi="Times New Roman CYR" w:cs="Times New Roman CYR"/>
          <w:sz w:val="24"/>
          <w:szCs w:val="24"/>
        </w:rPr>
        <w:tab/>
        <w:t>(1269)</w:t>
      </w:r>
      <w:r>
        <w:rPr>
          <w:rFonts w:ascii="Times New Roman CYR" w:hAnsi="Times New Roman CYR" w:cs="Times New Roman CYR"/>
          <w:sz w:val="24"/>
          <w:szCs w:val="24"/>
        </w:rPr>
        <w:tab/>
        <w:t>(6)</w:t>
      </w:r>
      <w:r>
        <w:rPr>
          <w:rFonts w:ascii="Times New Roman CYR" w:hAnsi="Times New Roman CYR" w:cs="Times New Roman CYR"/>
          <w:sz w:val="24"/>
          <w:szCs w:val="24"/>
        </w:rPr>
        <w:tab/>
        <w:t>(156)</w:t>
      </w:r>
      <w:r>
        <w:rPr>
          <w:rFonts w:ascii="Times New Roman CYR" w:hAnsi="Times New Roman CYR" w:cs="Times New Roman CYR"/>
          <w:sz w:val="24"/>
          <w:szCs w:val="24"/>
        </w:rPr>
        <w:tab/>
        <w:t>(72400)</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Балансова вартiсть на 31грудня 2023 /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01 сiчня 2024</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16944</w:t>
      </w:r>
      <w:r>
        <w:rPr>
          <w:rFonts w:ascii="Times New Roman CYR" w:hAnsi="Times New Roman CYR" w:cs="Times New Roman CYR"/>
          <w:sz w:val="24"/>
          <w:szCs w:val="24"/>
        </w:rPr>
        <w:tab/>
        <w:t>47200</w:t>
      </w:r>
      <w:r>
        <w:rPr>
          <w:rFonts w:ascii="Times New Roman CYR" w:hAnsi="Times New Roman CYR" w:cs="Times New Roman CYR"/>
          <w:sz w:val="24"/>
          <w:szCs w:val="24"/>
        </w:rPr>
        <w:tab/>
        <w:t>6996</w:t>
      </w:r>
      <w:r>
        <w:rPr>
          <w:rFonts w:ascii="Times New Roman CYR" w:hAnsi="Times New Roman CYR" w:cs="Times New Roman CYR"/>
          <w:sz w:val="24"/>
          <w:szCs w:val="24"/>
        </w:rPr>
        <w:tab/>
        <w:t>848</w:t>
      </w:r>
      <w:r>
        <w:rPr>
          <w:rFonts w:ascii="Times New Roman CYR" w:hAnsi="Times New Roman CYR" w:cs="Times New Roman CYR"/>
          <w:sz w:val="24"/>
          <w:szCs w:val="24"/>
        </w:rPr>
        <w:tab/>
        <w:t>0</w:t>
      </w:r>
      <w:r>
        <w:rPr>
          <w:rFonts w:ascii="Times New Roman CYR" w:hAnsi="Times New Roman CYR" w:cs="Times New Roman CYR"/>
          <w:sz w:val="24"/>
          <w:szCs w:val="24"/>
        </w:rPr>
        <w:tab/>
        <w:t>70</w:t>
      </w:r>
      <w:r>
        <w:rPr>
          <w:rFonts w:ascii="Times New Roman CYR" w:hAnsi="Times New Roman CYR" w:cs="Times New Roman CYR"/>
          <w:sz w:val="24"/>
          <w:szCs w:val="24"/>
        </w:rPr>
        <w:tab/>
        <w:t>72058</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Надходження                             </w:t>
      </w:r>
      <w:r>
        <w:rPr>
          <w:rFonts w:ascii="Times New Roman CYR" w:hAnsi="Times New Roman CYR" w:cs="Times New Roman CYR"/>
          <w:sz w:val="24"/>
          <w:szCs w:val="24"/>
        </w:rPr>
        <w:tab/>
        <w:t>-</w:t>
      </w:r>
      <w:r>
        <w:rPr>
          <w:rFonts w:ascii="Times New Roman CYR" w:hAnsi="Times New Roman CYR" w:cs="Times New Roman CYR"/>
          <w:sz w:val="24"/>
          <w:szCs w:val="24"/>
        </w:rPr>
        <w:tab/>
        <w:t>1639</w:t>
      </w:r>
      <w:r>
        <w:rPr>
          <w:rFonts w:ascii="Times New Roman CYR" w:hAnsi="Times New Roman CYR" w:cs="Times New Roman CYR"/>
          <w:sz w:val="24"/>
          <w:szCs w:val="24"/>
        </w:rPr>
        <w:tab/>
        <w:t>3225</w:t>
      </w:r>
      <w:r>
        <w:rPr>
          <w:rFonts w:ascii="Times New Roman CYR" w:hAnsi="Times New Roman CYR" w:cs="Times New Roman CYR"/>
          <w:sz w:val="24"/>
          <w:szCs w:val="24"/>
        </w:rPr>
        <w:tab/>
        <w:t>-</w:t>
      </w:r>
      <w:r>
        <w:rPr>
          <w:rFonts w:ascii="Times New Roman CYR" w:hAnsi="Times New Roman CYR" w:cs="Times New Roman CYR"/>
          <w:sz w:val="24"/>
          <w:szCs w:val="24"/>
        </w:rPr>
        <w:tab/>
        <w:t>41</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4905</w:t>
      </w:r>
      <w:r>
        <w:rPr>
          <w:rFonts w:ascii="Times New Roman CYR" w:hAnsi="Times New Roman CYR" w:cs="Times New Roman CYR"/>
          <w:sz w:val="24"/>
          <w:szCs w:val="24"/>
        </w:rPr>
        <w:tab/>
        <w:t>3210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Перемiщення (за первiсною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4905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 (за первiсною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(5)</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(44)</w:t>
      </w:r>
      <w:r>
        <w:rPr>
          <w:rFonts w:ascii="Times New Roman CYR" w:hAnsi="Times New Roman CYR" w:cs="Times New Roman CYR"/>
          <w:sz w:val="24"/>
          <w:szCs w:val="24"/>
        </w:rPr>
        <w:tab/>
        <w:t>(49)</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  (за накопиченим зносом)</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5</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44</w:t>
      </w:r>
      <w:r>
        <w:rPr>
          <w:rFonts w:ascii="Times New Roman CYR" w:hAnsi="Times New Roman CYR" w:cs="Times New Roman CYR"/>
          <w:sz w:val="24"/>
          <w:szCs w:val="24"/>
        </w:rPr>
        <w:tab/>
        <w:t>49</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Амортизацiйнi вiдрахування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(1192)</w:t>
      </w:r>
      <w:r>
        <w:rPr>
          <w:rFonts w:ascii="Times New Roman CYR" w:hAnsi="Times New Roman CYR" w:cs="Times New Roman CYR"/>
          <w:sz w:val="24"/>
          <w:szCs w:val="24"/>
        </w:rPr>
        <w:tab/>
        <w:t>(7324)</w:t>
      </w:r>
      <w:r>
        <w:rPr>
          <w:rFonts w:ascii="Times New Roman CYR" w:hAnsi="Times New Roman CYR" w:cs="Times New Roman CYR"/>
          <w:sz w:val="24"/>
          <w:szCs w:val="24"/>
        </w:rPr>
        <w:tab/>
        <w:t>(598)</w:t>
      </w:r>
      <w:r>
        <w:rPr>
          <w:rFonts w:ascii="Times New Roman CYR" w:hAnsi="Times New Roman CYR" w:cs="Times New Roman CYR"/>
          <w:sz w:val="24"/>
          <w:szCs w:val="24"/>
        </w:rPr>
        <w:tab/>
        <w:t>(215)</w:t>
      </w:r>
      <w:r>
        <w:rPr>
          <w:rFonts w:ascii="Times New Roman CYR" w:hAnsi="Times New Roman CYR" w:cs="Times New Roman CYR"/>
          <w:sz w:val="24"/>
          <w:szCs w:val="24"/>
        </w:rPr>
        <w:tab/>
        <w:t>-</w:t>
      </w:r>
      <w:r>
        <w:rPr>
          <w:rFonts w:ascii="Times New Roman CYR" w:hAnsi="Times New Roman CYR" w:cs="Times New Roman CYR"/>
          <w:sz w:val="24"/>
          <w:szCs w:val="24"/>
        </w:rPr>
        <w:tab/>
        <w:t>(30)</w:t>
      </w:r>
      <w:r>
        <w:rPr>
          <w:rFonts w:ascii="Times New Roman CYR" w:hAnsi="Times New Roman CYR" w:cs="Times New Roman CYR"/>
          <w:sz w:val="24"/>
          <w:szCs w:val="24"/>
        </w:rPr>
        <w:tab/>
        <w:t>(9358)</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31грудня 2024</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або умовна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29 427</w:t>
      </w:r>
      <w:r>
        <w:rPr>
          <w:rFonts w:ascii="Times New Roman CYR" w:hAnsi="Times New Roman CYR" w:cs="Times New Roman CYR"/>
          <w:sz w:val="24"/>
          <w:szCs w:val="24"/>
        </w:rPr>
        <w:tab/>
        <w:t>108089</w:t>
      </w:r>
      <w:r>
        <w:rPr>
          <w:rFonts w:ascii="Times New Roman CYR" w:hAnsi="Times New Roman CYR" w:cs="Times New Roman CYR"/>
          <w:sz w:val="24"/>
          <w:szCs w:val="24"/>
        </w:rPr>
        <w:tab/>
        <w:t>9452</w:t>
      </w:r>
      <w:r>
        <w:rPr>
          <w:rFonts w:ascii="Times New Roman CYR" w:hAnsi="Times New Roman CYR" w:cs="Times New Roman CYR"/>
          <w:sz w:val="24"/>
          <w:szCs w:val="24"/>
        </w:rPr>
        <w:tab/>
        <w:t>2158</w:t>
      </w:r>
      <w:r>
        <w:rPr>
          <w:rFonts w:ascii="Times New Roman CYR" w:hAnsi="Times New Roman CYR" w:cs="Times New Roman CYR"/>
          <w:sz w:val="24"/>
          <w:szCs w:val="24"/>
        </w:rPr>
        <w:tab/>
        <w:t>6</w:t>
      </w:r>
      <w:r>
        <w:rPr>
          <w:rFonts w:ascii="Times New Roman CYR" w:hAnsi="Times New Roman CYR" w:cs="Times New Roman CYR"/>
          <w:sz w:val="24"/>
          <w:szCs w:val="24"/>
        </w:rPr>
        <w:tab/>
        <w:t>182</w:t>
      </w:r>
      <w:r>
        <w:rPr>
          <w:rFonts w:ascii="Times New Roman CYR" w:hAnsi="Times New Roman CYR" w:cs="Times New Roman CYR"/>
          <w:sz w:val="24"/>
          <w:szCs w:val="24"/>
        </w:rPr>
        <w:tab/>
        <w:t>149314</w:t>
      </w:r>
      <w:r>
        <w:rPr>
          <w:rFonts w:ascii="Times New Roman CYR" w:hAnsi="Times New Roman CYR" w:cs="Times New Roman CYR"/>
          <w:sz w:val="24"/>
          <w:szCs w:val="24"/>
        </w:rPr>
        <w:tab/>
        <w:t>4417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Накопичений знос                        </w:t>
      </w:r>
      <w:r>
        <w:rPr>
          <w:rFonts w:ascii="Times New Roman CYR" w:hAnsi="Times New Roman CYR" w:cs="Times New Roman CYR"/>
          <w:sz w:val="24"/>
          <w:szCs w:val="24"/>
        </w:rPr>
        <w:tab/>
        <w:t>-</w:t>
      </w:r>
      <w:r>
        <w:rPr>
          <w:rFonts w:ascii="Times New Roman CYR" w:hAnsi="Times New Roman CYR" w:cs="Times New Roman CYR"/>
          <w:sz w:val="24"/>
          <w:szCs w:val="24"/>
        </w:rPr>
        <w:tab/>
        <w:t>(12036)</w:t>
      </w:r>
      <w:r>
        <w:rPr>
          <w:rFonts w:ascii="Times New Roman CYR" w:hAnsi="Times New Roman CYR" w:cs="Times New Roman CYR"/>
          <w:sz w:val="24"/>
          <w:szCs w:val="24"/>
        </w:rPr>
        <w:tab/>
        <w:t>(64988)</w:t>
      </w:r>
      <w:r>
        <w:rPr>
          <w:rFonts w:ascii="Times New Roman CYR" w:hAnsi="Times New Roman CYR" w:cs="Times New Roman CYR"/>
          <w:sz w:val="24"/>
          <w:szCs w:val="24"/>
        </w:rPr>
        <w:tab/>
        <w:t>(3054)</w:t>
      </w:r>
      <w:r>
        <w:rPr>
          <w:rFonts w:ascii="Times New Roman CYR" w:hAnsi="Times New Roman CYR" w:cs="Times New Roman CYR"/>
          <w:sz w:val="24"/>
          <w:szCs w:val="24"/>
        </w:rPr>
        <w:tab/>
        <w:t>(1484)</w:t>
      </w:r>
      <w:r>
        <w:rPr>
          <w:rFonts w:ascii="Times New Roman CYR" w:hAnsi="Times New Roman CYR" w:cs="Times New Roman CYR"/>
          <w:sz w:val="24"/>
          <w:szCs w:val="24"/>
        </w:rPr>
        <w:tab/>
        <w:t>(6)</w:t>
      </w:r>
      <w:r>
        <w:rPr>
          <w:rFonts w:ascii="Times New Roman CYR" w:hAnsi="Times New Roman CYR" w:cs="Times New Roman CYR"/>
          <w:sz w:val="24"/>
          <w:szCs w:val="24"/>
        </w:rPr>
        <w:tab/>
        <w:t>(142)</w:t>
      </w:r>
      <w:r>
        <w:rPr>
          <w:rFonts w:ascii="Times New Roman CYR" w:hAnsi="Times New Roman CYR" w:cs="Times New Roman CYR"/>
          <w:sz w:val="24"/>
          <w:szCs w:val="24"/>
        </w:rPr>
        <w:tab/>
        <w:t>(81710)</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Балансова вартiсть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на 31 грудня 2024р.               </w:t>
      </w:r>
      <w:r>
        <w:rPr>
          <w:rFonts w:ascii="Times New Roman CYR" w:hAnsi="Times New Roman CYR" w:cs="Times New Roman CYR"/>
          <w:sz w:val="24"/>
          <w:szCs w:val="24"/>
        </w:rPr>
        <w:tab/>
        <w:t>-</w:t>
      </w:r>
      <w:r>
        <w:rPr>
          <w:rFonts w:ascii="Times New Roman CYR" w:hAnsi="Times New Roman CYR" w:cs="Times New Roman CYR"/>
          <w:sz w:val="24"/>
          <w:szCs w:val="24"/>
        </w:rPr>
        <w:tab/>
        <w:t>17391</w:t>
      </w:r>
      <w:r>
        <w:rPr>
          <w:rFonts w:ascii="Times New Roman CYR" w:hAnsi="Times New Roman CYR" w:cs="Times New Roman CYR"/>
          <w:sz w:val="24"/>
          <w:szCs w:val="24"/>
        </w:rPr>
        <w:tab/>
        <w:t>43101</w:t>
      </w:r>
      <w:r>
        <w:rPr>
          <w:rFonts w:ascii="Times New Roman CYR" w:hAnsi="Times New Roman CYR" w:cs="Times New Roman CYR"/>
          <w:sz w:val="24"/>
          <w:szCs w:val="24"/>
        </w:rPr>
        <w:tab/>
        <w:t>6398</w:t>
      </w:r>
      <w:r>
        <w:rPr>
          <w:rFonts w:ascii="Times New Roman CYR" w:hAnsi="Times New Roman CYR" w:cs="Times New Roman CYR"/>
          <w:sz w:val="24"/>
          <w:szCs w:val="24"/>
        </w:rPr>
        <w:tab/>
        <w:t>674</w:t>
      </w:r>
      <w:r>
        <w:rPr>
          <w:rFonts w:ascii="Times New Roman CYR" w:hAnsi="Times New Roman CYR" w:cs="Times New Roman CYR"/>
          <w:sz w:val="24"/>
          <w:szCs w:val="24"/>
        </w:rPr>
        <w:tab/>
        <w:t>0</w:t>
      </w:r>
      <w:r>
        <w:rPr>
          <w:rFonts w:ascii="Times New Roman CYR" w:hAnsi="Times New Roman CYR" w:cs="Times New Roman CYR"/>
          <w:sz w:val="24"/>
          <w:szCs w:val="24"/>
        </w:rPr>
        <w:tab/>
        <w:t>40</w:t>
      </w:r>
      <w:r>
        <w:rPr>
          <w:rFonts w:ascii="Times New Roman CYR" w:hAnsi="Times New Roman CYR" w:cs="Times New Roman CYR"/>
          <w:sz w:val="24"/>
          <w:szCs w:val="24"/>
        </w:rPr>
        <w:tab/>
        <w:t>67604</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Незавершенi капiтальнi iнвестицiї - це переважно будiвництво та переобладнання будiвель i споруд (виробничих дiльниць) та придбання статей основних засобiв, ще не введених в експлуатацiю. Пiсля завершення капiтальних робiт та доведення активу до стану можливого використання,  активи переводяться до вiдповiдної категорiї основних засобiв.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2024 Товариство мало договiрнi зобов'язання на придбання основних засобiв на суму 1 936 тис. грн. (на 31 грудня 2023 року - 0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31.12.2024р. первiсна вартiсть повнiстю амортизованих ОЗ дорiвнює 68 217 тис. грн. (станом на 31.12.2023р.- 64 617тис.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нематерiальних активiв</w:t>
      </w:r>
      <w:r>
        <w:rPr>
          <w:rFonts w:ascii="Times New Roman CYR" w:hAnsi="Times New Roman CYR" w:cs="Times New Roman CYR"/>
          <w:sz w:val="24"/>
          <w:szCs w:val="24"/>
        </w:rPr>
        <w:tab/>
        <w:t>2 074</w:t>
      </w:r>
      <w:r>
        <w:rPr>
          <w:rFonts w:ascii="Times New Roman CYR" w:hAnsi="Times New Roman CYR" w:cs="Times New Roman CYR"/>
          <w:sz w:val="24"/>
          <w:szCs w:val="24"/>
        </w:rPr>
        <w:tab/>
      </w:r>
      <w:r>
        <w:rPr>
          <w:rFonts w:ascii="Times New Roman CYR" w:hAnsi="Times New Roman CYR" w:cs="Times New Roman CYR"/>
          <w:sz w:val="24"/>
          <w:szCs w:val="24"/>
        </w:rPr>
        <w:tab/>
        <w:t>2043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Первiсна вартiсть                           </w:t>
      </w:r>
      <w:r>
        <w:rPr>
          <w:rFonts w:ascii="Times New Roman CYR" w:hAnsi="Times New Roman CYR" w:cs="Times New Roman CYR"/>
          <w:sz w:val="24"/>
          <w:szCs w:val="24"/>
        </w:rPr>
        <w:tab/>
        <w:t>2 096</w:t>
      </w:r>
      <w:r>
        <w:rPr>
          <w:rFonts w:ascii="Times New Roman CYR" w:hAnsi="Times New Roman CYR" w:cs="Times New Roman CYR"/>
          <w:sz w:val="24"/>
          <w:szCs w:val="24"/>
        </w:rPr>
        <w:tab/>
      </w:r>
      <w:r>
        <w:rPr>
          <w:rFonts w:ascii="Times New Roman CYR" w:hAnsi="Times New Roman CYR" w:cs="Times New Roman CYR"/>
          <w:sz w:val="24"/>
          <w:szCs w:val="24"/>
        </w:rPr>
        <w:tab/>
        <w:t>2055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Знос </w:t>
      </w:r>
      <w:r>
        <w:rPr>
          <w:rFonts w:ascii="Times New Roman CYR" w:hAnsi="Times New Roman CYR" w:cs="Times New Roman CYR"/>
          <w:sz w:val="24"/>
          <w:szCs w:val="24"/>
        </w:rPr>
        <w:tab/>
        <w:t xml:space="preserve">                                                     22</w:t>
      </w:r>
      <w:r>
        <w:rPr>
          <w:rFonts w:ascii="Times New Roman CYR" w:hAnsi="Times New Roman CYR" w:cs="Times New Roman CYR"/>
          <w:sz w:val="24"/>
          <w:szCs w:val="24"/>
        </w:rPr>
        <w:tab/>
        <w:t xml:space="preserve">                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Нематерiальнi активi представленi торговими марками, програмними продуктами та регiстрацiйним сертифiкатом технiчного регламента ЄС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iнвестицiйної нерухомостi</w:t>
      </w:r>
      <w:r>
        <w:rPr>
          <w:rFonts w:ascii="Times New Roman CYR" w:hAnsi="Times New Roman CYR" w:cs="Times New Roman CYR"/>
          <w:sz w:val="24"/>
          <w:szCs w:val="24"/>
        </w:rPr>
        <w:tab/>
        <w:t xml:space="preserve">          202</w:t>
      </w:r>
      <w:r>
        <w:rPr>
          <w:rFonts w:ascii="Times New Roman CYR" w:hAnsi="Times New Roman CYR" w:cs="Times New Roman CYR"/>
          <w:sz w:val="24"/>
          <w:szCs w:val="24"/>
        </w:rPr>
        <w:tab/>
      </w:r>
      <w:r>
        <w:rPr>
          <w:rFonts w:ascii="Times New Roman CYR" w:hAnsi="Times New Roman CYR" w:cs="Times New Roman CYR"/>
          <w:sz w:val="24"/>
          <w:szCs w:val="24"/>
        </w:rPr>
        <w:tab/>
        <w:t>206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Первiсна вартiсть                                            266</w:t>
      </w:r>
      <w:r>
        <w:rPr>
          <w:rFonts w:ascii="Times New Roman CYR" w:hAnsi="Times New Roman CYR" w:cs="Times New Roman CYR"/>
          <w:sz w:val="24"/>
          <w:szCs w:val="24"/>
        </w:rPr>
        <w:tab/>
        <w:t xml:space="preserve">                266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Знос </w:t>
      </w:r>
      <w:r>
        <w:rPr>
          <w:rFonts w:ascii="Times New Roman CYR" w:hAnsi="Times New Roman CYR" w:cs="Times New Roman CYR"/>
          <w:sz w:val="24"/>
          <w:szCs w:val="24"/>
        </w:rPr>
        <w:tab/>
        <w:t xml:space="preserve">                                                            64</w:t>
      </w:r>
      <w:r>
        <w:rPr>
          <w:rFonts w:ascii="Times New Roman CYR" w:hAnsi="Times New Roman CYR" w:cs="Times New Roman CYR"/>
          <w:sz w:val="24"/>
          <w:szCs w:val="24"/>
        </w:rPr>
        <w:tab/>
      </w:r>
      <w:r>
        <w:rPr>
          <w:rFonts w:ascii="Times New Roman CYR" w:hAnsi="Times New Roman CYR" w:cs="Times New Roman CYR"/>
          <w:sz w:val="24"/>
          <w:szCs w:val="24"/>
        </w:rPr>
        <w:tab/>
        <w:t xml:space="preserve"> 60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оренди в 2024 роцi склав 65 тис. грн. (у 2023 роцi - 35 тис. грн.) та був визнаний у складi iншого операцiйного доходу.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укладено договiр на оренду будiвлi, загальна вартiсть мiнiмальних орендних платежiв на майбутнiй рiк складає 65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Довгострокова дебiторська заборгованiсть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статтi довгострокова дебiторська заборгованiсть входять позики, виданi працiвникам Товариства  на строк бiльш нiж 12 мiсяцiв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w:t>
      </w: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непоточних активiв</w:t>
      </w:r>
      <w:r>
        <w:rPr>
          <w:rFonts w:ascii="Times New Roman CYR" w:hAnsi="Times New Roman CYR" w:cs="Times New Roman CYR"/>
          <w:sz w:val="24"/>
          <w:szCs w:val="24"/>
        </w:rPr>
        <w:tab/>
        <w:t xml:space="preserve">                                          121</w:t>
      </w:r>
      <w:r>
        <w:rPr>
          <w:rFonts w:ascii="Times New Roman CYR" w:hAnsi="Times New Roman CYR" w:cs="Times New Roman CYR"/>
          <w:sz w:val="24"/>
          <w:szCs w:val="24"/>
        </w:rPr>
        <w:tab/>
        <w:t>10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Iнша довгострокова дебiторська заборгованiсть </w:t>
      </w:r>
      <w:r>
        <w:rPr>
          <w:rFonts w:ascii="Times New Roman CYR" w:hAnsi="Times New Roman CYR" w:cs="Times New Roman CYR"/>
          <w:sz w:val="24"/>
          <w:szCs w:val="24"/>
        </w:rPr>
        <w:tab/>
        <w:t xml:space="preserve">                          130</w:t>
      </w:r>
      <w:r>
        <w:rPr>
          <w:rFonts w:ascii="Times New Roman CYR" w:hAnsi="Times New Roman CYR" w:cs="Times New Roman CYR"/>
          <w:sz w:val="24"/>
          <w:szCs w:val="24"/>
        </w:rPr>
        <w:tab/>
        <w:t>10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Вiдсотки нарахованi на Iншу дебiторську довгострокову заборгованiсть  наростаючим пiдсумком</w:t>
      </w:r>
      <w:r>
        <w:rPr>
          <w:rFonts w:ascii="Times New Roman CYR" w:hAnsi="Times New Roman CYR" w:cs="Times New Roman CYR"/>
          <w:sz w:val="24"/>
          <w:szCs w:val="24"/>
        </w:rPr>
        <w:tab/>
        <w:t>7</w:t>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поточної частини непоточних активiв                         99</w:t>
      </w:r>
      <w:r>
        <w:rPr>
          <w:rFonts w:ascii="Times New Roman CYR" w:hAnsi="Times New Roman CYR" w:cs="Times New Roman CYR"/>
          <w:sz w:val="24"/>
          <w:szCs w:val="24"/>
        </w:rPr>
        <w:tab/>
        <w:t>111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частина iншої довгострокової дебiторської заборгованостi         120</w:t>
      </w:r>
      <w:r>
        <w:rPr>
          <w:rFonts w:ascii="Times New Roman CYR" w:hAnsi="Times New Roman CYR" w:cs="Times New Roman CYR"/>
          <w:sz w:val="24"/>
          <w:szCs w:val="24"/>
        </w:rPr>
        <w:tab/>
        <w:t>120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частина вiдсоткiв нарахованих на iншу дебiторську довгострокову заборгованiсть  наростаючим пiдсумком</w:t>
      </w:r>
      <w:r>
        <w:rPr>
          <w:rFonts w:ascii="Times New Roman CYR" w:hAnsi="Times New Roman CYR" w:cs="Times New Roman CYR"/>
          <w:sz w:val="24"/>
          <w:szCs w:val="24"/>
        </w:rPr>
        <w:tab/>
        <w:t xml:space="preserve">                                                                                                                              21</w:t>
      </w:r>
      <w:r>
        <w:rPr>
          <w:rFonts w:ascii="Times New Roman CYR" w:hAnsi="Times New Roman CYR" w:cs="Times New Roman CYR"/>
          <w:sz w:val="24"/>
          <w:szCs w:val="24"/>
        </w:rPr>
        <w:tab/>
        <w:t>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витрати вiд дисконтування виданої фiнансової допомоги за  рiк</w:t>
      </w:r>
      <w:r>
        <w:rPr>
          <w:rFonts w:ascii="Times New Roman CYR" w:hAnsi="Times New Roman CYR" w:cs="Times New Roman CYR"/>
          <w:sz w:val="24"/>
          <w:szCs w:val="24"/>
        </w:rPr>
        <w:tab/>
        <w:t>-</w:t>
      </w:r>
      <w:r>
        <w:rPr>
          <w:rFonts w:ascii="Times New Roman CYR" w:hAnsi="Times New Roman CYR" w:cs="Times New Roman CYR"/>
          <w:sz w:val="24"/>
          <w:szCs w:val="24"/>
        </w:rPr>
        <w:tab/>
        <w:t>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доходи вiдсотки нарахованi на видану фiнансову допомогу за рiк</w:t>
      </w:r>
      <w:r>
        <w:rPr>
          <w:rFonts w:ascii="Times New Roman CYR" w:hAnsi="Times New Roman CYR" w:cs="Times New Roman CYR"/>
          <w:sz w:val="24"/>
          <w:szCs w:val="24"/>
        </w:rPr>
        <w:tab/>
        <w:t>32</w:t>
      </w:r>
      <w:r>
        <w:rPr>
          <w:rFonts w:ascii="Times New Roman CYR" w:hAnsi="Times New Roman CYR" w:cs="Times New Roman CYR"/>
          <w:sz w:val="24"/>
          <w:szCs w:val="24"/>
        </w:rPr>
        <w:tab/>
        <w:t>22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Сума погашеної заборгованостi за рiк</w:t>
      </w:r>
      <w:r>
        <w:rPr>
          <w:rFonts w:ascii="Times New Roman CYR" w:hAnsi="Times New Roman CYR" w:cs="Times New Roman CYR"/>
          <w:sz w:val="24"/>
          <w:szCs w:val="24"/>
        </w:rPr>
        <w:tab/>
        <w:t xml:space="preserve">                                              128</w:t>
      </w:r>
      <w:r>
        <w:rPr>
          <w:rFonts w:ascii="Times New Roman CYR" w:hAnsi="Times New Roman CYR" w:cs="Times New Roman CYR"/>
          <w:sz w:val="24"/>
          <w:szCs w:val="24"/>
        </w:rPr>
        <w:tab/>
        <w:t>120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Запаси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включали таке:</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Виробничi запаси, у тому числi:</w:t>
      </w:r>
      <w:r>
        <w:rPr>
          <w:rFonts w:ascii="Times New Roman CYR" w:hAnsi="Times New Roman CYR" w:cs="Times New Roman CYR"/>
          <w:sz w:val="24"/>
          <w:szCs w:val="24"/>
        </w:rPr>
        <w:tab/>
        <w:t xml:space="preserve">                                                           14 376</w:t>
      </w:r>
      <w:r>
        <w:rPr>
          <w:rFonts w:ascii="Times New Roman CYR" w:hAnsi="Times New Roman CYR" w:cs="Times New Roman CYR"/>
          <w:sz w:val="24"/>
          <w:szCs w:val="24"/>
        </w:rPr>
        <w:tab/>
        <w:t>20 649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Сировина та матерiали                                                                                    14 396</w:t>
      </w:r>
      <w:r>
        <w:rPr>
          <w:rFonts w:ascii="Times New Roman CYR" w:hAnsi="Times New Roman CYR" w:cs="Times New Roman CYR"/>
          <w:sz w:val="24"/>
          <w:szCs w:val="24"/>
        </w:rPr>
        <w:tab/>
        <w:t>21 020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Купiвельнi напiвфабрикати                                                                    </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20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Паливо</w:t>
      </w:r>
      <w:r>
        <w:rPr>
          <w:rFonts w:ascii="Times New Roman CYR" w:hAnsi="Times New Roman CYR" w:cs="Times New Roman CYR"/>
          <w:sz w:val="24"/>
          <w:szCs w:val="24"/>
        </w:rPr>
        <w:tab/>
        <w:t xml:space="preserve">                                                                                                                38</w:t>
      </w:r>
      <w:r>
        <w:rPr>
          <w:rFonts w:ascii="Times New Roman CYR" w:hAnsi="Times New Roman CYR" w:cs="Times New Roman CYR"/>
          <w:sz w:val="24"/>
          <w:szCs w:val="24"/>
        </w:rPr>
        <w:tab/>
        <w:t>36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Тара</w:t>
      </w:r>
      <w:r>
        <w:rPr>
          <w:rFonts w:ascii="Times New Roman CYR" w:hAnsi="Times New Roman CYR" w:cs="Times New Roman CYR"/>
          <w:sz w:val="24"/>
          <w:szCs w:val="24"/>
        </w:rPr>
        <w:tab/>
        <w:t xml:space="preserve">                                                                                                              783</w:t>
      </w:r>
      <w:r>
        <w:rPr>
          <w:rFonts w:ascii="Times New Roman CYR" w:hAnsi="Times New Roman CYR" w:cs="Times New Roman CYR"/>
          <w:sz w:val="24"/>
          <w:szCs w:val="24"/>
        </w:rPr>
        <w:tab/>
        <w:t>1 164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Матерiали переданi на переробку</w:t>
      </w:r>
      <w:r>
        <w:rPr>
          <w:rFonts w:ascii="Times New Roman CYR" w:hAnsi="Times New Roman CYR" w:cs="Times New Roman CYR"/>
          <w:sz w:val="24"/>
          <w:szCs w:val="24"/>
        </w:rPr>
        <w:tab/>
        <w:t xml:space="preserve">                                                            2 584</w:t>
      </w:r>
      <w:r>
        <w:rPr>
          <w:rFonts w:ascii="Times New Roman CYR" w:hAnsi="Times New Roman CYR" w:cs="Times New Roman CYR"/>
          <w:sz w:val="24"/>
          <w:szCs w:val="24"/>
        </w:rPr>
        <w:tab/>
        <w:t>1 990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Запаснi частини</w:t>
      </w:r>
      <w:r>
        <w:rPr>
          <w:rFonts w:ascii="Times New Roman CYR" w:hAnsi="Times New Roman CYR" w:cs="Times New Roman CYR"/>
          <w:sz w:val="24"/>
          <w:szCs w:val="24"/>
        </w:rPr>
        <w:tab/>
        <w:t xml:space="preserve">                                                                                                181</w:t>
      </w:r>
      <w:r>
        <w:rPr>
          <w:rFonts w:ascii="Times New Roman CYR" w:hAnsi="Times New Roman CYR" w:cs="Times New Roman CYR"/>
          <w:sz w:val="24"/>
          <w:szCs w:val="24"/>
        </w:rPr>
        <w:tab/>
        <w:t>163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матерiали</w:t>
      </w:r>
      <w:r>
        <w:rPr>
          <w:rFonts w:ascii="Times New Roman CYR" w:hAnsi="Times New Roman CYR" w:cs="Times New Roman CYR"/>
          <w:sz w:val="24"/>
          <w:szCs w:val="24"/>
        </w:rPr>
        <w:tab/>
        <w:t xml:space="preserve">                                                                                                 65</w:t>
      </w:r>
      <w:r>
        <w:rPr>
          <w:rFonts w:ascii="Times New Roman CYR" w:hAnsi="Times New Roman CYR" w:cs="Times New Roman CYR"/>
          <w:sz w:val="24"/>
          <w:szCs w:val="24"/>
        </w:rPr>
        <w:tab/>
        <w:t>65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МШП та МНМА</w:t>
      </w:r>
      <w:r>
        <w:rPr>
          <w:rFonts w:ascii="Times New Roman CYR" w:hAnsi="Times New Roman CYR" w:cs="Times New Roman CYR"/>
          <w:sz w:val="24"/>
          <w:szCs w:val="24"/>
        </w:rPr>
        <w:tab/>
        <w:t xml:space="preserve">                                                                                                 91</w:t>
      </w:r>
      <w:r>
        <w:rPr>
          <w:rFonts w:ascii="Times New Roman CYR" w:hAnsi="Times New Roman CYR" w:cs="Times New Roman CYR"/>
          <w:sz w:val="24"/>
          <w:szCs w:val="24"/>
        </w:rPr>
        <w:tab/>
        <w:t>107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застарiлi та неходовi запаси</w:t>
      </w:r>
      <w:r>
        <w:rPr>
          <w:rFonts w:ascii="Times New Roman CYR" w:hAnsi="Times New Roman CYR" w:cs="Times New Roman CYR"/>
          <w:sz w:val="24"/>
          <w:szCs w:val="24"/>
        </w:rPr>
        <w:tab/>
        <w:t xml:space="preserve">                                          (3 762)</w:t>
      </w:r>
      <w:r>
        <w:rPr>
          <w:rFonts w:ascii="Times New Roman CYR" w:hAnsi="Times New Roman CYR" w:cs="Times New Roman CYR"/>
          <w:sz w:val="24"/>
          <w:szCs w:val="24"/>
        </w:rPr>
        <w:tab/>
        <w:t>(3 916)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Незавершене виробництво</w:t>
      </w:r>
      <w:r>
        <w:rPr>
          <w:rFonts w:ascii="Times New Roman CYR" w:hAnsi="Times New Roman CYR" w:cs="Times New Roman CYR"/>
          <w:sz w:val="24"/>
          <w:szCs w:val="24"/>
        </w:rPr>
        <w:tab/>
        <w:t xml:space="preserve">                                                                            1 792</w:t>
      </w:r>
      <w:r>
        <w:rPr>
          <w:rFonts w:ascii="Times New Roman CYR" w:hAnsi="Times New Roman CYR" w:cs="Times New Roman CYR"/>
          <w:sz w:val="24"/>
          <w:szCs w:val="24"/>
        </w:rPr>
        <w:tab/>
        <w:t>1 980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Готова продукцiя, у тому числi</w:t>
      </w:r>
      <w:r>
        <w:rPr>
          <w:rFonts w:ascii="Times New Roman CYR" w:hAnsi="Times New Roman CYR" w:cs="Times New Roman CYR"/>
          <w:sz w:val="24"/>
          <w:szCs w:val="24"/>
        </w:rPr>
        <w:tab/>
        <w:t xml:space="preserve">                                                            7 936 </w:t>
      </w:r>
      <w:r>
        <w:rPr>
          <w:rFonts w:ascii="Times New Roman CYR" w:hAnsi="Times New Roman CYR" w:cs="Times New Roman CYR"/>
          <w:sz w:val="24"/>
          <w:szCs w:val="24"/>
        </w:rPr>
        <w:tab/>
        <w:t xml:space="preserve">10 966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Готова продукцiя</w:t>
      </w:r>
      <w:r>
        <w:rPr>
          <w:rFonts w:ascii="Times New Roman CYR" w:hAnsi="Times New Roman CYR" w:cs="Times New Roman CYR"/>
          <w:sz w:val="24"/>
          <w:szCs w:val="24"/>
        </w:rPr>
        <w:tab/>
        <w:t xml:space="preserve">                                                                                            7 936</w:t>
      </w:r>
      <w:r>
        <w:rPr>
          <w:rFonts w:ascii="Times New Roman CYR" w:hAnsi="Times New Roman CYR" w:cs="Times New Roman CYR"/>
          <w:sz w:val="24"/>
          <w:szCs w:val="24"/>
        </w:rPr>
        <w:tab/>
        <w:t>10 966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Готова продукцiя в дорозi</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175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готову продукцiю в дорозi</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(175)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24 104</w:t>
      </w:r>
      <w:r>
        <w:rPr>
          <w:rFonts w:ascii="Times New Roman CYR" w:hAnsi="Times New Roman CYR" w:cs="Times New Roman CYR"/>
          <w:sz w:val="24"/>
          <w:szCs w:val="24"/>
        </w:rPr>
        <w:tab/>
        <w:t>33 595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облiковуються за первiсною вартiстю або чистою вартiстю реалiзацiї залежно вiд того, яка з цих сум менша. Приведення балансової вартостi запасiв до їх чистої реалiзацiйної вартостi здiйснюється шляхом створення резерву знецiнення запасiв. Станом на 31 грудня 2024 року сума резерв на знецiнення запасiв та готової продукцiї складає 3 762 тис. грн. (на 31 грудня 2023 року -4 091 тис. грн.). Сума запасiв, вiдновлених до придатностi протягом року, складає 2075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Торгова дебiторська заборгованiсть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Торгова дебiторська заборгованiсть включала таке:</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Торгова дебiторська заборгованiсть, валова сума           9 208</w:t>
      </w:r>
      <w:r>
        <w:rPr>
          <w:rFonts w:ascii="Times New Roman CYR" w:hAnsi="Times New Roman CYR" w:cs="Times New Roman CYR"/>
          <w:sz w:val="24"/>
          <w:szCs w:val="24"/>
        </w:rPr>
        <w:tab/>
        <w:t xml:space="preserve">                     8 514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очiкуванi кредитнi збитки</w:t>
      </w:r>
      <w:r>
        <w:rPr>
          <w:rFonts w:ascii="Times New Roman CYR" w:hAnsi="Times New Roman CYR" w:cs="Times New Roman CYR"/>
          <w:sz w:val="24"/>
          <w:szCs w:val="24"/>
        </w:rPr>
        <w:tab/>
        <w:t xml:space="preserve">                                (6 666)</w:t>
      </w:r>
      <w:r>
        <w:rPr>
          <w:rFonts w:ascii="Times New Roman CYR" w:hAnsi="Times New Roman CYR" w:cs="Times New Roman CYR"/>
          <w:sz w:val="24"/>
          <w:szCs w:val="24"/>
        </w:rPr>
        <w:tab/>
        <w:t xml:space="preserve">                    (6 073)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2 542</w:t>
      </w:r>
      <w:r>
        <w:rPr>
          <w:rFonts w:ascii="Times New Roman CYR" w:hAnsi="Times New Roman CYR" w:cs="Times New Roman CYR"/>
          <w:sz w:val="24"/>
          <w:szCs w:val="24"/>
        </w:rPr>
        <w:tab/>
        <w:t xml:space="preserve">                     2 441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Зниження торгової дебiторської заборгованостi станом на 31.12.2024 року пояснюється зменшенням вiдвантаження продукцiї наприкiнцi року. Станом на  дату затвердження цiєї звiтностi бiльша частина заборгованостi була погашена.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очiкуваних кредитних збиткiв  торгової дебiторської заборгованостi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Зменшення корисностi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2022р.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12546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1539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949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7063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2023р.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6073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605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2024р.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6666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9. Iнша дебiторська заборгованiсть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дебiторська заборгованiсть та оборотнi активи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 р.       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Передплачений податок на прибуток </w:t>
      </w:r>
      <w:r>
        <w:rPr>
          <w:rFonts w:ascii="Times New Roman CYR" w:hAnsi="Times New Roman CYR" w:cs="Times New Roman CYR"/>
          <w:sz w:val="24"/>
          <w:szCs w:val="24"/>
        </w:rPr>
        <w:tab/>
        <w:t xml:space="preserve">                        4139</w:t>
      </w:r>
      <w:r>
        <w:rPr>
          <w:rFonts w:ascii="Times New Roman CYR" w:hAnsi="Times New Roman CYR" w:cs="Times New Roman CYR"/>
          <w:sz w:val="24"/>
          <w:szCs w:val="24"/>
        </w:rPr>
        <w:tab/>
        <w:t xml:space="preserve">                    4139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Передплаченi iншi податки</w:t>
      </w:r>
      <w:r>
        <w:rPr>
          <w:rFonts w:ascii="Times New Roman CYR" w:hAnsi="Times New Roman CYR" w:cs="Times New Roman CYR"/>
          <w:sz w:val="24"/>
          <w:szCs w:val="24"/>
        </w:rPr>
        <w:tab/>
        <w:t xml:space="preserve">                                            40</w:t>
      </w:r>
      <w:r>
        <w:rPr>
          <w:rFonts w:ascii="Times New Roman CYR" w:hAnsi="Times New Roman CYR" w:cs="Times New Roman CYR"/>
          <w:sz w:val="24"/>
          <w:szCs w:val="24"/>
        </w:rPr>
        <w:tab/>
        <w:t xml:space="preserve">                        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Авансовi платежi здiйсненi з урахуванням резерву      39</w:t>
      </w:r>
      <w:r>
        <w:rPr>
          <w:rFonts w:ascii="Times New Roman CYR" w:hAnsi="Times New Roman CYR" w:cs="Times New Roman CYR"/>
          <w:sz w:val="24"/>
          <w:szCs w:val="24"/>
        </w:rPr>
        <w:tab/>
        <w:t xml:space="preserve">                                      144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них</w:t>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авансовi платежi здiйсненi</w:t>
      </w:r>
      <w:r>
        <w:rPr>
          <w:rFonts w:ascii="Times New Roman CYR" w:hAnsi="Times New Roman CYR" w:cs="Times New Roman CYR"/>
          <w:sz w:val="24"/>
          <w:szCs w:val="24"/>
        </w:rPr>
        <w:tab/>
        <w:t xml:space="preserve">                                           251</w:t>
      </w:r>
      <w:r>
        <w:rPr>
          <w:rFonts w:ascii="Times New Roman CYR" w:hAnsi="Times New Roman CYR" w:cs="Times New Roman CYR"/>
          <w:sz w:val="24"/>
          <w:szCs w:val="24"/>
        </w:rPr>
        <w:tab/>
        <w:t xml:space="preserve">                      319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w:t>
      </w:r>
      <w:r>
        <w:rPr>
          <w:rFonts w:ascii="Times New Roman CYR" w:hAnsi="Times New Roman CYR" w:cs="Times New Roman CYR"/>
          <w:sz w:val="24"/>
          <w:szCs w:val="24"/>
        </w:rPr>
        <w:tab/>
        <w:t xml:space="preserve">                                                                           212</w:t>
      </w:r>
      <w:r>
        <w:rPr>
          <w:rFonts w:ascii="Times New Roman CYR" w:hAnsi="Times New Roman CYR" w:cs="Times New Roman CYR"/>
          <w:sz w:val="24"/>
          <w:szCs w:val="24"/>
        </w:rPr>
        <w:tab/>
        <w:t xml:space="preserve">                      175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Iнше з урахуванням резерву</w:t>
      </w:r>
      <w:r>
        <w:rPr>
          <w:rFonts w:ascii="Times New Roman CYR" w:hAnsi="Times New Roman CYR" w:cs="Times New Roman CYR"/>
          <w:sz w:val="24"/>
          <w:szCs w:val="24"/>
        </w:rPr>
        <w:tab/>
        <w:t xml:space="preserve">                           524                                   1125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них</w:t>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 xml:space="preserve">        28321</w:t>
      </w:r>
      <w:r>
        <w:rPr>
          <w:rFonts w:ascii="Times New Roman CYR" w:hAnsi="Times New Roman CYR" w:cs="Times New Roman CYR"/>
          <w:sz w:val="24"/>
          <w:szCs w:val="24"/>
        </w:rPr>
        <w:tab/>
        <w:t xml:space="preserve">                  28388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w:t>
      </w:r>
      <w:r>
        <w:rPr>
          <w:rFonts w:ascii="Times New Roman CYR" w:hAnsi="Times New Roman CYR" w:cs="Times New Roman CYR"/>
          <w:sz w:val="24"/>
          <w:szCs w:val="24"/>
        </w:rPr>
        <w:tab/>
        <w:t xml:space="preserve">                                                                        28194</w:t>
      </w:r>
      <w:r>
        <w:rPr>
          <w:rFonts w:ascii="Times New Roman CYR" w:hAnsi="Times New Roman CYR" w:cs="Times New Roman CYR"/>
          <w:sz w:val="24"/>
          <w:szCs w:val="24"/>
        </w:rPr>
        <w:tab/>
        <w:t xml:space="preserve">                  28196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оборотнi активи</w:t>
      </w:r>
      <w:r>
        <w:rPr>
          <w:rFonts w:ascii="Times New Roman CYR" w:hAnsi="Times New Roman CYR" w:cs="Times New Roman CYR"/>
          <w:sz w:val="24"/>
          <w:szCs w:val="24"/>
        </w:rPr>
        <w:tab/>
        <w:t xml:space="preserve">                                            397</w:t>
      </w:r>
      <w:r>
        <w:rPr>
          <w:rFonts w:ascii="Times New Roman CYR" w:hAnsi="Times New Roman CYR" w:cs="Times New Roman CYR"/>
          <w:sz w:val="24"/>
          <w:szCs w:val="24"/>
        </w:rPr>
        <w:tab/>
        <w:t xml:space="preserve">                      933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4742</w:t>
      </w:r>
      <w:r>
        <w:rPr>
          <w:rFonts w:ascii="Times New Roman CYR" w:hAnsi="Times New Roman CYR" w:cs="Times New Roman CYR"/>
          <w:sz w:val="24"/>
          <w:szCs w:val="24"/>
        </w:rPr>
        <w:tab/>
        <w:t xml:space="preserve">                    5448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очiкуваних кредитних збиткiв  по виданим авансам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Зменшення корисностi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2022р.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170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106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2023р.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175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2024р.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очiкуваних кредитних збиткiв  iншiй дебiторськiй заборгованостi включали: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Зменшення корисностi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2022р.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33450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957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245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5966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2023р.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28196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Сторнування протягом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 за рiк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2024 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28194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Розкриття iнформацiї щодо використання справедливої вартостi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Методики оцiнювання та вхiднi данi, використанi для складання оцiнок за справедливою вартiстю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 це цiна, яка була б отримана при продажi активу або сплачена при передачi зобов'язання у ходi звичайної господарської операцiї мiж учасниками на момент оцiнки. Справедлива вартiсть була визначена для цiлей оцiнки та розкриття iнформацiї з використанням зазначених далi методiв. Там, де це необхiдно, додаткова iнформацiя про припущення, зробленi у процесi визначення справедливої вартостi активу або зобов'язання, розкривається в примiтках, що стосуються даного активу або зобов'язання. При оцiнцi справедливої вартостi не фiнансового активу враховується здатнiсть учасника ринку отримувати економiчну вигоду шляхом максимального та ефективного використання активу або шляхом продажу активу iншому учасниковi ринку, який використовуватиме цей актив максимально та ефективно. Товариство здiйснює виключно безперервнi оцiнки справедливої вартостi активiв та зобов'язань, тобто такi оцiнки, якi вимагаються МСФЗ 9 та МСФЗ 13 у звiтi про фiнансовий стан на кiнець кожного звiтного перiоду.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Методики оцiнювання та вхiднi данi, використанi для складання оцiнок за справедливою вартiстю.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виключно безперервнi оцiнки справедливої вартостi активiв та зобов'язань, тобто такi оцiнки, якi вимагаються МСФЗ 9 та МСФЗ 13 у звiтi про фiнансовий стан на кiнець кожного звiтного перiоду.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вартiстю</w:t>
      </w:r>
      <w:r>
        <w:rPr>
          <w:rFonts w:ascii="Times New Roman CYR" w:hAnsi="Times New Roman CYR" w:cs="Times New Roman CYR"/>
          <w:sz w:val="24"/>
          <w:szCs w:val="24"/>
        </w:rPr>
        <w:tab/>
        <w:t>Методики оцiнювання</w:t>
      </w:r>
      <w:r>
        <w:rPr>
          <w:rFonts w:ascii="Times New Roman CYR" w:hAnsi="Times New Roman CYR" w:cs="Times New Roman CYR"/>
          <w:sz w:val="24"/>
          <w:szCs w:val="24"/>
        </w:rPr>
        <w:tab/>
        <w:t>Метод оцiнки (ринковий, дохiдний, витратний)</w:t>
      </w:r>
      <w:r>
        <w:rPr>
          <w:rFonts w:ascii="Times New Roman CYR" w:hAnsi="Times New Roman CYR" w:cs="Times New Roman CYR"/>
          <w:sz w:val="24"/>
          <w:szCs w:val="24"/>
        </w:rPr>
        <w:tab/>
        <w:t>Вихiднi данi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Первiсна та подальша оцiнка грошових коштiв та їх еквiвалентiв здiйснюється за справедливою вартiстю, яка дорiвнює їх номiнальнiй вартостi</w:t>
      </w:r>
      <w:r>
        <w:rPr>
          <w:rFonts w:ascii="Times New Roman CYR" w:hAnsi="Times New Roman CYR" w:cs="Times New Roman CYR"/>
          <w:sz w:val="24"/>
          <w:szCs w:val="24"/>
        </w:rPr>
        <w:tab/>
        <w:t>Ринковий</w:t>
      </w:r>
      <w:r>
        <w:rPr>
          <w:rFonts w:ascii="Times New Roman CYR" w:hAnsi="Times New Roman CYR" w:cs="Times New Roman CYR"/>
          <w:sz w:val="24"/>
          <w:szCs w:val="24"/>
        </w:rPr>
        <w:tab/>
        <w:t>Офiцiйнi курси НБУ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r>
        <w:rPr>
          <w:rFonts w:ascii="Times New Roman CYR" w:hAnsi="Times New Roman CYR" w:cs="Times New Roman CYR"/>
          <w:sz w:val="24"/>
          <w:szCs w:val="24"/>
        </w:rPr>
        <w:tab/>
        <w:t xml:space="preserve">Первiсна оцiнка здiйснюється за справедливою вартiстю, яка дорiвнює  номiнальнiй вартостi. Подальший облiк дебiторської заборгованостi здiйснюється за амортизованою собiвартiстю </w:t>
      </w:r>
      <w:r>
        <w:rPr>
          <w:rFonts w:ascii="Times New Roman CYR" w:hAnsi="Times New Roman CYR" w:cs="Times New Roman CYR"/>
          <w:sz w:val="24"/>
          <w:szCs w:val="24"/>
        </w:rPr>
        <w:tab/>
        <w:t>Дохiдний</w:t>
      </w:r>
      <w:r>
        <w:rPr>
          <w:rFonts w:ascii="Times New Roman CYR" w:hAnsi="Times New Roman CYR" w:cs="Times New Roman CYR"/>
          <w:sz w:val="24"/>
          <w:szCs w:val="24"/>
        </w:rPr>
        <w:tab/>
        <w:t>Контрактнi умови, ймовiрнiсть погашення, очiкуванi вхiднi грошовi потоки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w:t>
      </w:r>
      <w:r>
        <w:rPr>
          <w:rFonts w:ascii="Times New Roman CYR" w:hAnsi="Times New Roman CYR" w:cs="Times New Roman CYR"/>
          <w:sz w:val="24"/>
          <w:szCs w:val="24"/>
        </w:rPr>
        <w:tab/>
        <w:t>Первiсна та подальша оцiнка поточних зобов'язань здiйснюється за вартiстю погашення</w:t>
      </w:r>
      <w:r>
        <w:rPr>
          <w:rFonts w:ascii="Times New Roman CYR" w:hAnsi="Times New Roman CYR" w:cs="Times New Roman CYR"/>
          <w:sz w:val="24"/>
          <w:szCs w:val="24"/>
        </w:rPr>
        <w:tab/>
        <w:t>Витратний</w:t>
      </w:r>
      <w:r>
        <w:rPr>
          <w:rFonts w:ascii="Times New Roman CYR" w:hAnsi="Times New Roman CYR" w:cs="Times New Roman CYR"/>
          <w:sz w:val="24"/>
          <w:szCs w:val="24"/>
        </w:rPr>
        <w:tab/>
        <w:t>Контрактнi умови, ймовiрнiсть погашення, очiкуванi вихiднi грошовi потоки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Методики та припущення, якi використовуються для оцiнки справедливої вартостi фiнансових iнструментiв, якi облiковуються за амортизованою </w:t>
      </w:r>
      <w:r>
        <w:rPr>
          <w:rFonts w:ascii="Times New Roman CYR" w:hAnsi="Times New Roman CYR" w:cs="Times New Roman CYR"/>
          <w:sz w:val="24"/>
          <w:szCs w:val="24"/>
        </w:rPr>
        <w:lastRenderedPageBreak/>
        <w:t>собiвартiстю, включають наступне:</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вважається, що справедлива вартiсть наступних видiв фiнансових активiв дорiвнює їх балансовiй вартостi: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грошовi кошти та їх еквiваленти;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короткостроковi (до трьох мiсяцiв) фiнансовi активи (кошти в банках);</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iншi фiнансовi активи, включаючи дебiторську заборгованiсть (враховуючи короткостроковий характер таких активiв);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вважається, що справедлива вартiсть наступних видiв фiнансових зобов'язань дорiвнює їх балансовiй вартостi: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короткостроковi (до трьох мiсяцiв) фiнансовi зобов'язання;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кошти на вимогу фiзичних, юридичних осiб, небанкiвських фiнансових установ;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ншi фiнансовi зобов'язання, включаючи кредиторську заборгованiсть (враховуючи короткостроковий характер таких зобов`язань).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 якi облiкованi за амортизацiйною вартiстю в порiвняннi з їх балансовою вартiстю: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Найменування статтi             </w:t>
      </w:r>
      <w:r>
        <w:rPr>
          <w:rFonts w:ascii="Times New Roman CYR" w:hAnsi="Times New Roman CYR" w:cs="Times New Roman CYR"/>
          <w:sz w:val="24"/>
          <w:szCs w:val="24"/>
        </w:rPr>
        <w:tab/>
        <w:t xml:space="preserve">       Станом на 31.12.2024р.</w:t>
      </w:r>
      <w:r>
        <w:rPr>
          <w:rFonts w:ascii="Times New Roman CYR" w:hAnsi="Times New Roman CYR" w:cs="Times New Roman CYR"/>
          <w:sz w:val="24"/>
          <w:szCs w:val="24"/>
        </w:rPr>
        <w:tab/>
        <w:t xml:space="preserve">                             Станом на 31.12.2023р.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первiсна вартiсть    справедлива вартiсть      первiсна вартiсть  справедлива вартiсть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грошовi кошти </w:t>
      </w:r>
      <w:r>
        <w:rPr>
          <w:rFonts w:ascii="Times New Roman CYR" w:hAnsi="Times New Roman CYR" w:cs="Times New Roman CYR"/>
          <w:sz w:val="24"/>
          <w:szCs w:val="24"/>
        </w:rPr>
        <w:tab/>
        <w:t xml:space="preserve">                                                  51                   51</w:t>
      </w:r>
      <w:r>
        <w:rPr>
          <w:rFonts w:ascii="Times New Roman CYR" w:hAnsi="Times New Roman CYR" w:cs="Times New Roman CYR"/>
          <w:sz w:val="24"/>
          <w:szCs w:val="24"/>
        </w:rPr>
        <w:tab/>
        <w:t xml:space="preserve">                                        4018</w:t>
      </w:r>
      <w:r>
        <w:rPr>
          <w:rFonts w:ascii="Times New Roman CYR" w:hAnsi="Times New Roman CYR" w:cs="Times New Roman CYR"/>
          <w:sz w:val="24"/>
          <w:szCs w:val="24"/>
        </w:rPr>
        <w:tab/>
        <w:t>4018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дебiторська заборгованiсть</w:t>
      </w:r>
      <w:r>
        <w:rPr>
          <w:rFonts w:ascii="Times New Roman CYR" w:hAnsi="Times New Roman CYR" w:cs="Times New Roman CYR"/>
          <w:sz w:val="24"/>
          <w:szCs w:val="24"/>
        </w:rPr>
        <w:tab/>
        <w:t>9208</w:t>
      </w:r>
      <w:r>
        <w:rPr>
          <w:rFonts w:ascii="Times New Roman CYR" w:hAnsi="Times New Roman CYR" w:cs="Times New Roman CYR"/>
          <w:sz w:val="24"/>
          <w:szCs w:val="24"/>
        </w:rPr>
        <w:tab/>
        <w:t xml:space="preserve">       9208</w:t>
      </w:r>
      <w:r>
        <w:rPr>
          <w:rFonts w:ascii="Times New Roman CYR" w:hAnsi="Times New Roman CYR" w:cs="Times New Roman CYR"/>
          <w:sz w:val="24"/>
          <w:szCs w:val="24"/>
        </w:rPr>
        <w:tab/>
        <w:t xml:space="preserve">                                        8514</w:t>
      </w:r>
      <w:r>
        <w:rPr>
          <w:rFonts w:ascii="Times New Roman CYR" w:hAnsi="Times New Roman CYR" w:cs="Times New Roman CYR"/>
          <w:sz w:val="24"/>
          <w:szCs w:val="24"/>
        </w:rPr>
        <w:tab/>
        <w:t>8514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очiкуванi кредитнi збитки</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(6666)</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(6073)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по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розрахункам з бюджетом</w:t>
      </w:r>
      <w:r>
        <w:rPr>
          <w:rFonts w:ascii="Times New Roman CYR" w:hAnsi="Times New Roman CYR" w:cs="Times New Roman CYR"/>
          <w:sz w:val="24"/>
          <w:szCs w:val="24"/>
        </w:rPr>
        <w:tab/>
        <w:t xml:space="preserve">                                 4179</w:t>
      </w:r>
      <w:r>
        <w:rPr>
          <w:rFonts w:ascii="Times New Roman CYR" w:hAnsi="Times New Roman CYR" w:cs="Times New Roman CYR"/>
          <w:sz w:val="24"/>
          <w:szCs w:val="24"/>
        </w:rPr>
        <w:tab/>
        <w:t xml:space="preserve">        4179</w:t>
      </w:r>
      <w:r>
        <w:rPr>
          <w:rFonts w:ascii="Times New Roman CYR" w:hAnsi="Times New Roman CYR" w:cs="Times New Roman CYR"/>
          <w:sz w:val="24"/>
          <w:szCs w:val="24"/>
        </w:rPr>
        <w:tab/>
        <w:t xml:space="preserve">                        4179</w:t>
      </w:r>
      <w:r>
        <w:rPr>
          <w:rFonts w:ascii="Times New Roman CYR" w:hAnsi="Times New Roman CYR" w:cs="Times New Roman CYR"/>
          <w:sz w:val="24"/>
          <w:szCs w:val="24"/>
        </w:rPr>
        <w:tab/>
        <w:t>4179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виданими авансами</w:t>
      </w:r>
      <w:r>
        <w:rPr>
          <w:rFonts w:ascii="Times New Roman CYR" w:hAnsi="Times New Roman CYR" w:cs="Times New Roman CYR"/>
          <w:sz w:val="24"/>
          <w:szCs w:val="24"/>
        </w:rPr>
        <w:tab/>
        <w:t xml:space="preserve">                                   251</w:t>
      </w:r>
      <w:r>
        <w:rPr>
          <w:rFonts w:ascii="Times New Roman CYR" w:hAnsi="Times New Roman CYR" w:cs="Times New Roman CYR"/>
          <w:sz w:val="24"/>
          <w:szCs w:val="24"/>
        </w:rPr>
        <w:tab/>
        <w:t xml:space="preserve">           251</w:t>
      </w:r>
      <w:r>
        <w:rPr>
          <w:rFonts w:ascii="Times New Roman CYR" w:hAnsi="Times New Roman CYR" w:cs="Times New Roman CYR"/>
          <w:sz w:val="24"/>
          <w:szCs w:val="24"/>
        </w:rPr>
        <w:tab/>
        <w:t xml:space="preserve">                         319</w:t>
      </w:r>
      <w:r>
        <w:rPr>
          <w:rFonts w:ascii="Times New Roman CYR" w:hAnsi="Times New Roman CYR" w:cs="Times New Roman CYR"/>
          <w:sz w:val="24"/>
          <w:szCs w:val="24"/>
        </w:rPr>
        <w:tab/>
        <w:t xml:space="preserve">                  319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очiкуванi кредитнi збитки</w:t>
      </w:r>
      <w:r>
        <w:rPr>
          <w:rFonts w:ascii="Times New Roman CYR" w:hAnsi="Times New Roman CYR" w:cs="Times New Roman CYR"/>
          <w:sz w:val="24"/>
          <w:szCs w:val="24"/>
        </w:rPr>
        <w:tab/>
      </w:r>
      <w:r>
        <w:rPr>
          <w:rFonts w:ascii="Times New Roman CYR" w:hAnsi="Times New Roman CYR" w:cs="Times New Roman CYR"/>
          <w:sz w:val="24"/>
          <w:szCs w:val="24"/>
        </w:rPr>
        <w:tab/>
        <w:t xml:space="preserve">    -                    (212)</w:t>
      </w:r>
      <w:r>
        <w:rPr>
          <w:rFonts w:ascii="Times New Roman CYR" w:hAnsi="Times New Roman CYR" w:cs="Times New Roman CYR"/>
          <w:sz w:val="24"/>
          <w:szCs w:val="24"/>
        </w:rPr>
        <w:tab/>
      </w:r>
      <w:r>
        <w:rPr>
          <w:rFonts w:ascii="Times New Roman CYR" w:hAnsi="Times New Roman CYR" w:cs="Times New Roman CYR"/>
          <w:sz w:val="24"/>
          <w:szCs w:val="24"/>
        </w:rPr>
        <w:tab/>
        <w:t xml:space="preserve">           -                    (175)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iнша дебiторська заборгованiсть (без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урахування поточної заборгованостi по позикам) 28210</w:t>
      </w:r>
      <w:r>
        <w:rPr>
          <w:rFonts w:ascii="Times New Roman CYR" w:hAnsi="Times New Roman CYR" w:cs="Times New Roman CYR"/>
          <w:sz w:val="24"/>
          <w:szCs w:val="24"/>
        </w:rPr>
        <w:tab/>
        <w:t xml:space="preserve">        28210</w:t>
      </w:r>
      <w:r>
        <w:rPr>
          <w:rFonts w:ascii="Times New Roman CYR" w:hAnsi="Times New Roman CYR" w:cs="Times New Roman CYR"/>
          <w:sz w:val="24"/>
          <w:szCs w:val="24"/>
        </w:rPr>
        <w:tab/>
      </w:r>
      <w:r>
        <w:rPr>
          <w:rFonts w:ascii="Times New Roman CYR" w:hAnsi="Times New Roman CYR" w:cs="Times New Roman CYR"/>
          <w:sz w:val="24"/>
          <w:szCs w:val="24"/>
        </w:rPr>
        <w:tab/>
        <w:t xml:space="preserve">       28289</w:t>
      </w:r>
      <w:r>
        <w:rPr>
          <w:rFonts w:ascii="Times New Roman CYR" w:hAnsi="Times New Roman CYR" w:cs="Times New Roman CYR"/>
          <w:sz w:val="24"/>
          <w:szCs w:val="24"/>
        </w:rPr>
        <w:tab/>
        <w:t>28289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очiкуванi кредитнi збитки</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(28194)</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(28196)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довгострокова заборгованiсть по позикам            10</w:t>
      </w:r>
      <w:r>
        <w:rPr>
          <w:rFonts w:ascii="Times New Roman CYR" w:hAnsi="Times New Roman CYR" w:cs="Times New Roman CYR"/>
          <w:sz w:val="24"/>
          <w:szCs w:val="24"/>
        </w:rPr>
        <w:tab/>
        <w:t xml:space="preserve">              10</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130</w:t>
      </w:r>
      <w:r>
        <w:rPr>
          <w:rFonts w:ascii="Times New Roman CYR" w:hAnsi="Times New Roman CYR" w:cs="Times New Roman CYR"/>
          <w:sz w:val="24"/>
          <w:szCs w:val="24"/>
        </w:rPr>
        <w:tab/>
        <w:t xml:space="preserve">    121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заборгованiсть по довгостроковим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позикам</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120</w:t>
      </w:r>
      <w:r>
        <w:rPr>
          <w:rFonts w:ascii="Times New Roman CYR" w:hAnsi="Times New Roman CYR" w:cs="Times New Roman CYR"/>
          <w:sz w:val="24"/>
          <w:szCs w:val="24"/>
        </w:rPr>
        <w:tab/>
        <w:t xml:space="preserve">            111</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120</w:t>
      </w:r>
      <w:r>
        <w:rPr>
          <w:rFonts w:ascii="Times New Roman CYR" w:hAnsi="Times New Roman CYR" w:cs="Times New Roman CYR"/>
          <w:sz w:val="24"/>
          <w:szCs w:val="24"/>
        </w:rPr>
        <w:tab/>
        <w:t xml:space="preserve">     99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фiнансових активiв, що облiковуються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амортизованою собiвартiстю</w:t>
      </w:r>
      <w:r>
        <w:rPr>
          <w:rFonts w:ascii="Times New Roman CYR" w:hAnsi="Times New Roman CYR" w:cs="Times New Roman CYR"/>
          <w:sz w:val="24"/>
          <w:szCs w:val="24"/>
        </w:rPr>
        <w:tab/>
      </w:r>
      <w:r>
        <w:rPr>
          <w:rFonts w:ascii="Times New Roman CYR" w:hAnsi="Times New Roman CYR" w:cs="Times New Roman CYR"/>
          <w:sz w:val="24"/>
          <w:szCs w:val="24"/>
        </w:rPr>
        <w:tab/>
        <w:t xml:space="preserve">  42029</w:t>
      </w:r>
      <w:r>
        <w:rPr>
          <w:rFonts w:ascii="Times New Roman CYR" w:hAnsi="Times New Roman CYR" w:cs="Times New Roman CYR"/>
          <w:sz w:val="24"/>
          <w:szCs w:val="24"/>
        </w:rPr>
        <w:tab/>
        <w:t xml:space="preserve">           6948</w:t>
      </w:r>
      <w:r>
        <w:rPr>
          <w:rFonts w:ascii="Times New Roman CYR" w:hAnsi="Times New Roman CYR" w:cs="Times New Roman CYR"/>
          <w:sz w:val="24"/>
          <w:szCs w:val="24"/>
        </w:rPr>
        <w:tab/>
      </w:r>
      <w:r>
        <w:rPr>
          <w:rFonts w:ascii="Times New Roman CYR" w:hAnsi="Times New Roman CYR" w:cs="Times New Roman CYR"/>
          <w:sz w:val="24"/>
          <w:szCs w:val="24"/>
        </w:rPr>
        <w:tab/>
        <w:t xml:space="preserve">       45569</w:t>
      </w:r>
      <w:r>
        <w:rPr>
          <w:rFonts w:ascii="Times New Roman CYR" w:hAnsi="Times New Roman CYR" w:cs="Times New Roman CYR"/>
          <w:sz w:val="24"/>
          <w:szCs w:val="24"/>
        </w:rPr>
        <w:tab/>
        <w:t>11095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кредиторська заборгованiсть-поточна</w:t>
      </w:r>
      <w:r>
        <w:rPr>
          <w:rFonts w:ascii="Times New Roman CYR" w:hAnsi="Times New Roman CYR" w:cs="Times New Roman CYR"/>
          <w:sz w:val="24"/>
          <w:szCs w:val="24"/>
        </w:rPr>
        <w:tab/>
        <w:t xml:space="preserve">    6178</w:t>
      </w:r>
      <w:r>
        <w:rPr>
          <w:rFonts w:ascii="Times New Roman CYR" w:hAnsi="Times New Roman CYR" w:cs="Times New Roman CYR"/>
          <w:sz w:val="24"/>
          <w:szCs w:val="24"/>
        </w:rPr>
        <w:tab/>
        <w:t xml:space="preserve">           6178</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12195</w:t>
      </w:r>
      <w:r>
        <w:rPr>
          <w:rFonts w:ascii="Times New Roman CYR" w:hAnsi="Times New Roman CYR" w:cs="Times New Roman CYR"/>
          <w:sz w:val="24"/>
          <w:szCs w:val="24"/>
        </w:rPr>
        <w:tab/>
        <w:t>12195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iншi фiнансовi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t xml:space="preserve">    9494</w:t>
      </w:r>
      <w:r>
        <w:rPr>
          <w:rFonts w:ascii="Times New Roman CYR" w:hAnsi="Times New Roman CYR" w:cs="Times New Roman CYR"/>
          <w:sz w:val="24"/>
          <w:szCs w:val="24"/>
        </w:rPr>
        <w:tab/>
        <w:t xml:space="preserve">           9494</w:t>
      </w:r>
      <w:r>
        <w:rPr>
          <w:rFonts w:ascii="Times New Roman CYR" w:hAnsi="Times New Roman CYR" w:cs="Times New Roman CYR"/>
          <w:sz w:val="24"/>
          <w:szCs w:val="24"/>
        </w:rPr>
        <w:tab/>
      </w:r>
      <w:r>
        <w:rPr>
          <w:rFonts w:ascii="Times New Roman CYR" w:hAnsi="Times New Roman CYR" w:cs="Times New Roman CYR"/>
          <w:sz w:val="24"/>
          <w:szCs w:val="24"/>
        </w:rPr>
        <w:tab/>
        <w:t xml:space="preserve">         4776</w:t>
      </w:r>
      <w:r>
        <w:rPr>
          <w:rFonts w:ascii="Times New Roman CYR" w:hAnsi="Times New Roman CYR" w:cs="Times New Roman CYR"/>
          <w:sz w:val="24"/>
          <w:szCs w:val="24"/>
        </w:rPr>
        <w:tab/>
        <w:t xml:space="preserve">  4776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Усього фiнансових зобов`язань, що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облiковуються за амортизованою собiвартiстю   15672</w:t>
      </w:r>
      <w:r>
        <w:rPr>
          <w:rFonts w:ascii="Times New Roman CYR" w:hAnsi="Times New Roman CYR" w:cs="Times New Roman CYR"/>
          <w:sz w:val="24"/>
          <w:szCs w:val="24"/>
        </w:rPr>
        <w:tab/>
        <w:t xml:space="preserve">         15672</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16971</w:t>
      </w:r>
      <w:r>
        <w:rPr>
          <w:rFonts w:ascii="Times New Roman CYR" w:hAnsi="Times New Roman CYR" w:cs="Times New Roman CYR"/>
          <w:sz w:val="24"/>
          <w:szCs w:val="24"/>
        </w:rPr>
        <w:tab/>
        <w:t>16971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вважає, що наведенi розкриття щодо застосування справедливої вартостi є достатнiми, i не вважає, що за межами фiнансової звiтностi залишилась будь-яка суттєва iнформацiя щодо застосування справедливої вартостi, яка може бути корисною для користувачiв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11.  Грошовi кошти та їх еквiваленти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включали: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2024р.</w:t>
      </w:r>
      <w:r>
        <w:rPr>
          <w:rFonts w:ascii="Times New Roman CYR" w:hAnsi="Times New Roman CYR" w:cs="Times New Roman CYR"/>
          <w:sz w:val="24"/>
          <w:szCs w:val="24"/>
        </w:rPr>
        <w:tab/>
        <w:t>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на банкiвських рахунках у гривнях</w:t>
      </w:r>
      <w:r>
        <w:rPr>
          <w:rFonts w:ascii="Times New Roman CYR" w:hAnsi="Times New Roman CYR" w:cs="Times New Roman CYR"/>
          <w:sz w:val="24"/>
          <w:szCs w:val="24"/>
        </w:rPr>
        <w:tab/>
        <w:t xml:space="preserve">                       47</w:t>
      </w:r>
      <w:r>
        <w:rPr>
          <w:rFonts w:ascii="Times New Roman CYR" w:hAnsi="Times New Roman CYR" w:cs="Times New Roman CYR"/>
          <w:sz w:val="24"/>
          <w:szCs w:val="24"/>
        </w:rPr>
        <w:tab/>
        <w:t xml:space="preserve">                     4004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на рахунках СЕА</w:t>
      </w:r>
      <w:r>
        <w:rPr>
          <w:rFonts w:ascii="Times New Roman CYR" w:hAnsi="Times New Roman CYR" w:cs="Times New Roman CYR"/>
          <w:sz w:val="24"/>
          <w:szCs w:val="24"/>
        </w:rPr>
        <w:tab/>
        <w:t xml:space="preserve">                                                         4                              14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51</w:t>
      </w:r>
      <w:r>
        <w:rPr>
          <w:rFonts w:ascii="Times New Roman CYR" w:hAnsi="Times New Roman CYR" w:cs="Times New Roman CYR"/>
          <w:sz w:val="24"/>
          <w:szCs w:val="24"/>
        </w:rPr>
        <w:tab/>
        <w:t xml:space="preserve">                     4018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2024 року сума цiльового фiнансування пiдприємству склала  710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Вид цiльового надходження</w:t>
      </w: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Лiкарнянi</w:t>
      </w:r>
      <w:r>
        <w:rPr>
          <w:rFonts w:ascii="Times New Roman CYR" w:hAnsi="Times New Roman CYR" w:cs="Times New Roman CYR"/>
          <w:sz w:val="24"/>
          <w:szCs w:val="24"/>
        </w:rPr>
        <w:tab/>
        <w:t xml:space="preserve">                                                                                        710</w:t>
      </w:r>
      <w:r>
        <w:rPr>
          <w:rFonts w:ascii="Times New Roman CYR" w:hAnsi="Times New Roman CYR" w:cs="Times New Roman CYR"/>
          <w:sz w:val="24"/>
          <w:szCs w:val="24"/>
        </w:rPr>
        <w:tab/>
        <w:t xml:space="preserve">                      253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710</w:t>
      </w:r>
      <w:r>
        <w:rPr>
          <w:rFonts w:ascii="Times New Roman CYR" w:hAnsi="Times New Roman CYR" w:cs="Times New Roman CYR"/>
          <w:sz w:val="24"/>
          <w:szCs w:val="24"/>
        </w:rPr>
        <w:tab/>
        <w:t xml:space="preserve">                      253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надходження грошових коштiв: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2024р.</w:t>
      </w:r>
      <w:r>
        <w:rPr>
          <w:rFonts w:ascii="Times New Roman CYR" w:hAnsi="Times New Roman CYR" w:cs="Times New Roman CYR"/>
          <w:sz w:val="24"/>
          <w:szCs w:val="24"/>
        </w:rPr>
        <w:tab/>
        <w:t>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Реалiзацiя iнших товарiв та послуг</w:t>
      </w:r>
      <w:r>
        <w:rPr>
          <w:rFonts w:ascii="Times New Roman CYR" w:hAnsi="Times New Roman CYR" w:cs="Times New Roman CYR"/>
          <w:sz w:val="24"/>
          <w:szCs w:val="24"/>
        </w:rPr>
        <w:tab/>
        <w:t xml:space="preserve">                                                        436</w:t>
      </w:r>
      <w:r>
        <w:rPr>
          <w:rFonts w:ascii="Times New Roman CYR" w:hAnsi="Times New Roman CYR" w:cs="Times New Roman CYR"/>
          <w:sz w:val="24"/>
          <w:szCs w:val="24"/>
        </w:rPr>
        <w:tab/>
        <w:t xml:space="preserve">                        212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Помилкове перерахування коштiв</w:t>
      </w:r>
      <w:r>
        <w:rPr>
          <w:rFonts w:ascii="Times New Roman CYR" w:hAnsi="Times New Roman CYR" w:cs="Times New Roman CYR"/>
          <w:sz w:val="24"/>
          <w:szCs w:val="24"/>
        </w:rPr>
        <w:tab/>
        <w:t xml:space="preserve">                                                        282</w:t>
      </w:r>
      <w:r>
        <w:rPr>
          <w:rFonts w:ascii="Times New Roman CYR" w:hAnsi="Times New Roman CYR" w:cs="Times New Roman CYR"/>
          <w:sz w:val="24"/>
          <w:szCs w:val="24"/>
        </w:rPr>
        <w:tab/>
        <w:t xml:space="preserve">                          30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Вiдсотки по короткостроковому депозиту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670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Купiвля-продаж iноземної валюти</w:t>
      </w:r>
      <w:r>
        <w:rPr>
          <w:rFonts w:ascii="Times New Roman CYR" w:hAnsi="Times New Roman CYR" w:cs="Times New Roman CYR"/>
          <w:sz w:val="24"/>
          <w:szCs w:val="24"/>
        </w:rPr>
        <w:tab/>
        <w:t xml:space="preserve">                                                         4</w:t>
      </w:r>
      <w:r>
        <w:rPr>
          <w:rFonts w:ascii="Times New Roman CYR" w:hAnsi="Times New Roman CYR" w:cs="Times New Roman CYR"/>
          <w:sz w:val="24"/>
          <w:szCs w:val="24"/>
        </w:rPr>
        <w:tab/>
        <w:t xml:space="preserve">                          29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722</w:t>
      </w:r>
      <w:r>
        <w:rPr>
          <w:rFonts w:ascii="Times New Roman CYR" w:hAnsi="Times New Roman CYR" w:cs="Times New Roman CYR"/>
          <w:sz w:val="24"/>
          <w:szCs w:val="24"/>
        </w:rPr>
        <w:tab/>
        <w:t xml:space="preserve">                         941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витрачання грошових коштiв: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2024р.</w:t>
      </w:r>
      <w:r>
        <w:rPr>
          <w:rFonts w:ascii="Times New Roman CYR" w:hAnsi="Times New Roman CYR" w:cs="Times New Roman CYR"/>
          <w:sz w:val="24"/>
          <w:szCs w:val="24"/>
        </w:rPr>
        <w:tab/>
        <w:t>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Вiдшкодування пiльгових пенсiй</w:t>
      </w:r>
      <w:r>
        <w:rPr>
          <w:rFonts w:ascii="Times New Roman CYR" w:hAnsi="Times New Roman CYR" w:cs="Times New Roman CYR"/>
          <w:sz w:val="24"/>
          <w:szCs w:val="24"/>
        </w:rPr>
        <w:tab/>
        <w:t xml:space="preserve">                                                       3231                         3340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витрати, виплати за рiшенням суду</w:t>
      </w:r>
      <w:r>
        <w:rPr>
          <w:rFonts w:ascii="Times New Roman CYR" w:hAnsi="Times New Roman CYR" w:cs="Times New Roman CYR"/>
          <w:sz w:val="24"/>
          <w:szCs w:val="24"/>
        </w:rPr>
        <w:tab/>
        <w:t xml:space="preserve">                                         681</w:t>
      </w:r>
      <w:r>
        <w:rPr>
          <w:rFonts w:ascii="Times New Roman CYR" w:hAnsi="Times New Roman CYR" w:cs="Times New Roman CYR"/>
          <w:sz w:val="24"/>
          <w:szCs w:val="24"/>
        </w:rPr>
        <w:tab/>
        <w:t xml:space="preserve">                          415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Благодiйнiсть</w:t>
      </w:r>
      <w:r>
        <w:rPr>
          <w:rFonts w:ascii="Times New Roman CYR" w:hAnsi="Times New Roman CYR" w:cs="Times New Roman CYR"/>
          <w:sz w:val="24"/>
          <w:szCs w:val="24"/>
        </w:rPr>
        <w:tab/>
        <w:t xml:space="preserve">                                                                                         630</w:t>
      </w:r>
      <w:r>
        <w:rPr>
          <w:rFonts w:ascii="Times New Roman CYR" w:hAnsi="Times New Roman CYR" w:cs="Times New Roman CYR"/>
          <w:sz w:val="24"/>
          <w:szCs w:val="24"/>
        </w:rPr>
        <w:tab/>
        <w:t xml:space="preserve">                          904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w:t>
      </w:r>
      <w:r>
        <w:rPr>
          <w:rFonts w:ascii="Times New Roman CYR" w:hAnsi="Times New Roman CYR" w:cs="Times New Roman CYR"/>
          <w:sz w:val="24"/>
          <w:szCs w:val="24"/>
        </w:rPr>
        <w:tab/>
        <w:t xml:space="preserve">                                                                                         309</w:t>
      </w:r>
      <w:r>
        <w:rPr>
          <w:rFonts w:ascii="Times New Roman CYR" w:hAnsi="Times New Roman CYR" w:cs="Times New Roman CYR"/>
          <w:sz w:val="24"/>
          <w:szCs w:val="24"/>
        </w:rPr>
        <w:tab/>
        <w:t xml:space="preserve">                          641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Помилкове перерахування коштiв</w:t>
      </w:r>
      <w:r>
        <w:rPr>
          <w:rFonts w:ascii="Times New Roman CYR" w:hAnsi="Times New Roman CYR" w:cs="Times New Roman CYR"/>
          <w:sz w:val="24"/>
          <w:szCs w:val="24"/>
        </w:rPr>
        <w:tab/>
        <w:t xml:space="preserve">                                                         282</w:t>
      </w:r>
      <w:r>
        <w:rPr>
          <w:rFonts w:ascii="Times New Roman CYR" w:hAnsi="Times New Roman CYR" w:cs="Times New Roman CYR"/>
          <w:sz w:val="24"/>
          <w:szCs w:val="24"/>
        </w:rPr>
        <w:tab/>
        <w:t xml:space="preserve">                            30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Перерахування за виконавчими документами працiвникiв</w:t>
      </w:r>
      <w:r>
        <w:rPr>
          <w:rFonts w:ascii="Times New Roman CYR" w:hAnsi="Times New Roman CYR" w:cs="Times New Roman CYR"/>
          <w:sz w:val="24"/>
          <w:szCs w:val="24"/>
        </w:rPr>
        <w:tab/>
        <w:t xml:space="preserve">         113</w:t>
      </w:r>
      <w:r>
        <w:rPr>
          <w:rFonts w:ascii="Times New Roman CYR" w:hAnsi="Times New Roman CYR" w:cs="Times New Roman CYR"/>
          <w:sz w:val="24"/>
          <w:szCs w:val="24"/>
        </w:rPr>
        <w:tab/>
        <w:t xml:space="preserve">                          135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Загальногосподарськi витрати (касове обслуговування)</w:t>
      </w:r>
      <w:r>
        <w:rPr>
          <w:rFonts w:ascii="Times New Roman CYR" w:hAnsi="Times New Roman CYR" w:cs="Times New Roman CYR"/>
          <w:sz w:val="24"/>
          <w:szCs w:val="24"/>
        </w:rPr>
        <w:tab/>
        <w:t xml:space="preserve">                           63   </w:t>
      </w:r>
      <w:r>
        <w:rPr>
          <w:rFonts w:ascii="Times New Roman CYR" w:hAnsi="Times New Roman CYR" w:cs="Times New Roman CYR"/>
          <w:sz w:val="24"/>
          <w:szCs w:val="24"/>
        </w:rPr>
        <w:tab/>
        <w:t xml:space="preserve">             91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Вiдрядження</w:t>
      </w:r>
      <w:r>
        <w:rPr>
          <w:rFonts w:ascii="Times New Roman CYR" w:hAnsi="Times New Roman CYR" w:cs="Times New Roman CYR"/>
          <w:sz w:val="24"/>
          <w:szCs w:val="24"/>
        </w:rPr>
        <w:tab/>
        <w:t xml:space="preserve">                                                                                           28</w:t>
      </w:r>
      <w:r>
        <w:rPr>
          <w:rFonts w:ascii="Times New Roman CYR" w:hAnsi="Times New Roman CYR" w:cs="Times New Roman CYR"/>
          <w:sz w:val="24"/>
          <w:szCs w:val="24"/>
        </w:rPr>
        <w:tab/>
        <w:t xml:space="preserve">                             64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з валютою</w:t>
      </w:r>
      <w:r>
        <w:rPr>
          <w:rFonts w:ascii="Times New Roman CYR" w:hAnsi="Times New Roman CYR" w:cs="Times New Roman CYR"/>
          <w:sz w:val="24"/>
          <w:szCs w:val="24"/>
        </w:rPr>
        <w:tab/>
        <w:t xml:space="preserve">                                                                            3</w:t>
      </w:r>
      <w:r>
        <w:rPr>
          <w:rFonts w:ascii="Times New Roman CYR" w:hAnsi="Times New Roman CYR" w:cs="Times New Roman CYR"/>
          <w:sz w:val="24"/>
          <w:szCs w:val="24"/>
        </w:rPr>
        <w:tab/>
        <w:t xml:space="preserve">                             11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 xml:space="preserve">                                                                                                         287</w:t>
      </w:r>
      <w:r>
        <w:rPr>
          <w:rFonts w:ascii="Times New Roman CYR" w:hAnsi="Times New Roman CYR" w:cs="Times New Roman CYR"/>
          <w:sz w:val="24"/>
          <w:szCs w:val="24"/>
        </w:rPr>
        <w:tab/>
        <w:t xml:space="preserve">                           138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5627</w:t>
      </w:r>
      <w:r>
        <w:rPr>
          <w:rFonts w:ascii="Times New Roman CYR" w:hAnsi="Times New Roman CYR" w:cs="Times New Roman CYR"/>
          <w:sz w:val="24"/>
          <w:szCs w:val="24"/>
        </w:rPr>
        <w:tab/>
        <w:t xml:space="preserve">                         5769</w:t>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Довгостроковi забезпечення виплат персоналу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має законодавчо встановлене зобов'язання компенсувати Державному Пенсiйному Фонду України додатковi пенсiї сплаченi Фондом певним категорiям колишнiх i чинних працiвникiв Товариства. У вiдповiдностi з планом, працiвники Товариства, якi мають вiдповiдний стаж роботи на посадах шкiдливих для здоров'я, отримують спецiальнi пенсiї по достроковому виходу на пенсiю. Цi пенсiї безпосередньо виплачуються Державним Пенсiйним Фондом України та потiм компенсуються Товариством. Зобов'язання за цим планом вiдносяться до планiв з визначеною виплатою.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Наступна таблиця розкриває компоненти витрат за планом, якi визнанi в звiтi про фiнансовi результати та суми зобов'язань за планом якi визнанi в балансi. Витрати за планом, за винятком витрат на вiдсотки, включено в собiвартiсть реалiзацiї; витрати на вiдсотки включено до фiнансових витрат.</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2024р.</w:t>
      </w:r>
      <w:r>
        <w:rPr>
          <w:rFonts w:ascii="Times New Roman CYR" w:hAnsi="Times New Roman CYR" w:cs="Times New Roman CYR"/>
          <w:sz w:val="24"/>
          <w:szCs w:val="24"/>
        </w:rPr>
        <w:tab/>
        <w:t xml:space="preserve"> 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на виплату пенсiйних зобов'язань (довгострокова)                                     7 763</w:t>
      </w:r>
      <w:r>
        <w:rPr>
          <w:rFonts w:ascii="Times New Roman CYR" w:hAnsi="Times New Roman CYR" w:cs="Times New Roman CYR"/>
          <w:sz w:val="24"/>
          <w:szCs w:val="24"/>
        </w:rPr>
        <w:tab/>
        <w:t xml:space="preserve">     6 645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7 763</w:t>
      </w:r>
      <w:r>
        <w:rPr>
          <w:rFonts w:ascii="Times New Roman CYR" w:hAnsi="Times New Roman CYR" w:cs="Times New Roman CYR"/>
          <w:sz w:val="24"/>
          <w:szCs w:val="24"/>
        </w:rPr>
        <w:tab/>
        <w:t xml:space="preserve">     6 645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на виплату пенсiйних зобов'язань (поточна)                                                 2 493</w:t>
      </w:r>
      <w:r>
        <w:rPr>
          <w:rFonts w:ascii="Times New Roman CYR" w:hAnsi="Times New Roman CYR" w:cs="Times New Roman CYR"/>
          <w:sz w:val="24"/>
          <w:szCs w:val="24"/>
        </w:rPr>
        <w:tab/>
        <w:t xml:space="preserve">      2 521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2 493</w:t>
      </w:r>
      <w:r>
        <w:rPr>
          <w:rFonts w:ascii="Times New Roman CYR" w:hAnsi="Times New Roman CYR" w:cs="Times New Roman CYR"/>
          <w:sz w:val="24"/>
          <w:szCs w:val="24"/>
        </w:rPr>
        <w:tab/>
        <w:t xml:space="preserve">      2 521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Враховуючи дiюче законодавство України, пенсiйна програма з визначеним внеском здiйснюється за участю працедавцiв України. МСБО (IAS) 19 вимагає, що суб'єктовi господарювання слiд класифiкувати програми за участю кiлькох працедавцiв як програми з визначеним внеском або програми з визначеною виплатою згiдно з умовами програми (включаючи будь-яке конструктивне зобов'язання, яке виходить за межi офiцiйних умов) з урахуванням своєї пропорцiйної частки зобов'язання за визначеними виплатами, активiв програми та витрат.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Зважаючи на те, що пiдприємство не може розрахувати свою пропорцiйну частку зобов'язання за визначеними виплатами, активiв програми та витрат, пов'язаних з програмою, облiк програми вiдповiдно до МСБО (IAS) 19 ведеться як програма з визначеним внеском.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Сума майбутнiх виплат пенсiї робiтникам за списком № 1, № 2, № 3 на дату фiнансової звiтностi враховується пiдприємством як резерв на виплати </w:t>
      </w:r>
      <w:r>
        <w:rPr>
          <w:rFonts w:ascii="Times New Roman CYR" w:hAnsi="Times New Roman CYR" w:cs="Times New Roman CYR"/>
          <w:sz w:val="24"/>
          <w:szCs w:val="24"/>
        </w:rPr>
        <w:lastRenderedPageBreak/>
        <w:t>за пенсiйними зобов'язаннями вiдповiдно до вимог МСФО (IAS) 37 "Резерви, умовнi зобов'язання, умовнi активи".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резерву розраховувалась на дисконтованiй основi, оскiльки такi зобов'язання повиннi бути виконанi через декiлька рокiв пiсля закiнчення перiоду, в якому працiвники виконали вiдповiднi роботи (надали послуги).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Оцiнювання i прогнозування здiйснювалось з використанням базової актуарної моделi, модифiкованої шляхом вживання блоку формування i обробки персонiфiкованих даних (перiод виплати компенсацiї, сума виплати) застрахованих осiб. Розрахунок забезпечень за виплатами по пенсiйним планам здiйснювався наступним чином: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Було встановлена кiлькiсть робiтникiв, працюючих у важких умовах та маючих право на достроковий вихiд на пенсiю за списками № 1, № 2 та № 3. У списку були врахованi як працiвники, якi вже вийшли на пенсiю, так i працiвники, якi будуть виходити на пенсiю достроково.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Були визначенi розмiри виплат, якi мають бути проведенi у наступних перiодах, i зроблена оцiнка (актуарнi припущення) вiдносно демографiчних змiнних (таких як текучiсть i смертнiсть персоналу) i фiнансових змiнних (таких як майбутнє збiльшення пенсiй), якi впливатимуть на величину витрат при виплатi пенсiй. Загальнi витрати пiдприємства були визначенi як загальна сума на робiтникiв пiльгової категорiї протягом пiльгового пенсiйного перiоду з врахуванням вiрогiдностi дожиття.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Суми виплат було продисконтовано методом прогнозованої умовної одиницi для визначення сучасної приведеної вартостi зобов'язань за пенсiйним планом зi встановленими виплатами. Ставка дисконтування розрахована за даними ОВДП з ринковою дохiднiстю на вiдповiдну дату, iнформацiя по яких є у вiльному доступi https://bank.gov.ua/ua/markets/ovdp/fair-value.</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побудови кривих прибутковостi ОВДП з термiнами погашення вiд 1 року до строку, що дорiвнює середньому строку до погашення зобов'язань, були використанi данi НБУ щодо справедливої вартостi ОВДП з ринковою дохiднiстю, номiнованi у валютi зобов'язань (UAH), якi перебувають в обiгу на останнiй торговий день року, за виключенням ОВДП з термiном до погашення менше року i тих що номiнованi в доларах i євро.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Залишились лише тi ОВДП, якi найбiльше вiдповiдають прогнозованому строку (тобто, в iнтервалi вiд 1 року до 4 рокiв). В цьому iнтервалi знайдено середньозважену ставку яка склала 15,86%.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розрахунку використовувались наступнi демографiчнi припущення: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загальний рiвень смертностi за даними Державної служби статистики України по Запорiзькiй областi складає у 2014 р. - 15,7; у 2015 р. - 16; у 2016 р. - 16,1; у 2017 р. - 16,0;  у 2018 р. - 16,3; у 2019 р. - 16,4; у 2020 р. - 17,5;  у 2021 р. -21,6; у 2022 р. - 25,9; у 2023 р. - 25,9 (у зв'язку з вiдсутнiстю статистичних даних за 2022 та 2023 роки для розрахунку було збiльшено загальний рiвень смертностi за 2021 рiк на 20 вiдсоткiв) на 1000 осiб наявного населення. У розрахунку приймався показник 1,87% ((15,7+16,0+16,1+16,0+16,3+16,4+17,5+21,6+25,9+25,9) : 10) : 1000 = 0,01874);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рiвень дострокового звiльнення штатних працiвникiв пiдприємства (без вiдпрацювання необхiдного пiльгового стажу) - 15%. Враховуючи, що кiлькiсть працiвникiв, якi працюють у теперiшнiй час, незначна, коригування розрахунку кiлькостi таких працiвникiв не проводилось;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вiк виходу на пенсiю i тривалiсть перебування на пiльговiй пенсiї визначалась на пiдставi довiдок, наданих вiддiлом кадрiв пiдприємства.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Теперiшня вартiсть зобов'язання за планом на 31 грудня 2024р. - 10 256тис.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оцiнює, що виплати за планом в 2025 роцi складуть 2 493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 xml:space="preserve">                                                                                                    ( тис.грн.)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2024р.</w:t>
      </w:r>
      <w:r>
        <w:rPr>
          <w:rFonts w:ascii="Times New Roman CYR" w:hAnsi="Times New Roman CYR" w:cs="Times New Roman CYR"/>
          <w:sz w:val="24"/>
          <w:szCs w:val="24"/>
        </w:rPr>
        <w:tab/>
        <w:t>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попереднього перiоду, в тому числi</w:t>
      </w:r>
      <w:r>
        <w:rPr>
          <w:rFonts w:ascii="Times New Roman CYR" w:hAnsi="Times New Roman CYR" w:cs="Times New Roman CYR"/>
          <w:sz w:val="24"/>
          <w:szCs w:val="24"/>
        </w:rPr>
        <w:tab/>
        <w:t xml:space="preserve">        9166</w:t>
      </w:r>
      <w:r>
        <w:rPr>
          <w:rFonts w:ascii="Times New Roman CYR" w:hAnsi="Times New Roman CYR" w:cs="Times New Roman CYR"/>
          <w:sz w:val="24"/>
          <w:szCs w:val="24"/>
        </w:rPr>
        <w:tab/>
        <w:t>8460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довгострокова</w:t>
      </w:r>
      <w:r>
        <w:rPr>
          <w:rFonts w:ascii="Times New Roman CYR" w:hAnsi="Times New Roman CYR" w:cs="Times New Roman CYR"/>
          <w:sz w:val="24"/>
          <w:szCs w:val="24"/>
        </w:rPr>
        <w:tab/>
        <w:t xml:space="preserve">                                                        6645</w:t>
      </w:r>
      <w:r>
        <w:rPr>
          <w:rFonts w:ascii="Times New Roman CYR" w:hAnsi="Times New Roman CYR" w:cs="Times New Roman CYR"/>
          <w:sz w:val="24"/>
          <w:szCs w:val="24"/>
        </w:rPr>
        <w:tab/>
        <w:t>6309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w:t>
      </w:r>
      <w:r>
        <w:rPr>
          <w:rFonts w:ascii="Times New Roman CYR" w:hAnsi="Times New Roman CYR" w:cs="Times New Roman CYR"/>
          <w:sz w:val="24"/>
          <w:szCs w:val="24"/>
        </w:rPr>
        <w:tab/>
        <w:t xml:space="preserve">                                                                        2521</w:t>
      </w:r>
      <w:r>
        <w:rPr>
          <w:rFonts w:ascii="Times New Roman CYR" w:hAnsi="Times New Roman CYR" w:cs="Times New Roman CYR"/>
          <w:sz w:val="24"/>
          <w:szCs w:val="24"/>
        </w:rPr>
        <w:tab/>
        <w:t>2151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Нараховане</w:t>
      </w:r>
      <w:r>
        <w:rPr>
          <w:rFonts w:ascii="Times New Roman CYR" w:hAnsi="Times New Roman CYR" w:cs="Times New Roman CYR"/>
          <w:sz w:val="24"/>
          <w:szCs w:val="24"/>
        </w:rPr>
        <w:tab/>
        <w:t xml:space="preserve">                                                        4293</w:t>
      </w:r>
      <w:r>
        <w:rPr>
          <w:rFonts w:ascii="Times New Roman CYR" w:hAnsi="Times New Roman CYR" w:cs="Times New Roman CYR"/>
          <w:sz w:val="24"/>
          <w:szCs w:val="24"/>
        </w:rPr>
        <w:tab/>
        <w:t>3889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Використано</w:t>
      </w:r>
      <w:r>
        <w:rPr>
          <w:rFonts w:ascii="Times New Roman CYR" w:hAnsi="Times New Roman CYR" w:cs="Times New Roman CYR"/>
          <w:sz w:val="24"/>
          <w:szCs w:val="24"/>
        </w:rPr>
        <w:tab/>
        <w:t xml:space="preserve">                                                        3203</w:t>
      </w:r>
      <w:r>
        <w:rPr>
          <w:rFonts w:ascii="Times New Roman CYR" w:hAnsi="Times New Roman CYR" w:cs="Times New Roman CYR"/>
          <w:sz w:val="24"/>
          <w:szCs w:val="24"/>
        </w:rPr>
        <w:tab/>
        <w:t>3183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кiнець звiтного перiоду, в тому числi </w:t>
      </w:r>
      <w:r>
        <w:rPr>
          <w:rFonts w:ascii="Times New Roman CYR" w:hAnsi="Times New Roman CYR" w:cs="Times New Roman CYR"/>
          <w:sz w:val="24"/>
          <w:szCs w:val="24"/>
        </w:rPr>
        <w:tab/>
        <w:t xml:space="preserve">      10256</w:t>
      </w:r>
      <w:r>
        <w:rPr>
          <w:rFonts w:ascii="Times New Roman CYR" w:hAnsi="Times New Roman CYR" w:cs="Times New Roman CYR"/>
          <w:sz w:val="24"/>
          <w:szCs w:val="24"/>
        </w:rPr>
        <w:tab/>
        <w:t>9166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довгострокова</w:t>
      </w:r>
      <w:r>
        <w:rPr>
          <w:rFonts w:ascii="Times New Roman CYR" w:hAnsi="Times New Roman CYR" w:cs="Times New Roman CYR"/>
          <w:sz w:val="24"/>
          <w:szCs w:val="24"/>
        </w:rPr>
        <w:tab/>
        <w:t xml:space="preserve">                                                        7763</w:t>
      </w:r>
      <w:r>
        <w:rPr>
          <w:rFonts w:ascii="Times New Roman CYR" w:hAnsi="Times New Roman CYR" w:cs="Times New Roman CYR"/>
          <w:sz w:val="24"/>
          <w:szCs w:val="24"/>
        </w:rPr>
        <w:tab/>
        <w:t>6645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w:t>
      </w:r>
      <w:r>
        <w:rPr>
          <w:rFonts w:ascii="Times New Roman CYR" w:hAnsi="Times New Roman CYR" w:cs="Times New Roman CYR"/>
          <w:sz w:val="24"/>
          <w:szCs w:val="24"/>
        </w:rPr>
        <w:tab/>
        <w:t xml:space="preserve">                                                                        2493</w:t>
      </w:r>
      <w:r>
        <w:rPr>
          <w:rFonts w:ascii="Times New Roman CYR" w:hAnsi="Times New Roman CYR" w:cs="Times New Roman CYR"/>
          <w:sz w:val="24"/>
          <w:szCs w:val="24"/>
        </w:rPr>
        <w:tab/>
        <w:t>2521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Довгостроковi кредити та позики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31.12.2024р. кредити та позики на балансi Пiдприємства не облiковуються.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Торгова та iнша кредиторська заборгованiсть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Торгова та iнша кредиторська заборгованiсть включала: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r>
      <w:r>
        <w:rPr>
          <w:rFonts w:ascii="Times New Roman CYR" w:hAnsi="Times New Roman CYR" w:cs="Times New Roman CYR"/>
          <w:sz w:val="24"/>
          <w:szCs w:val="24"/>
        </w:rPr>
        <w:tab/>
        <w:t>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перед торговими постачальниками</w:t>
      </w:r>
      <w:r>
        <w:rPr>
          <w:rFonts w:ascii="Times New Roman CYR" w:hAnsi="Times New Roman CYR" w:cs="Times New Roman CYR"/>
          <w:sz w:val="24"/>
          <w:szCs w:val="24"/>
        </w:rPr>
        <w:tab/>
        <w:t xml:space="preserve">                       6 178</w:t>
      </w:r>
      <w:r>
        <w:rPr>
          <w:rFonts w:ascii="Times New Roman CYR" w:hAnsi="Times New Roman CYR" w:cs="Times New Roman CYR"/>
          <w:sz w:val="24"/>
          <w:szCs w:val="24"/>
        </w:rPr>
        <w:tab/>
      </w:r>
      <w:r>
        <w:rPr>
          <w:rFonts w:ascii="Times New Roman CYR" w:hAnsi="Times New Roman CYR" w:cs="Times New Roman CYR"/>
          <w:sz w:val="24"/>
          <w:szCs w:val="24"/>
        </w:rPr>
        <w:tab/>
        <w:t>12 195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Iншi короткостроковi зобов'язання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короткостроковi зобов'язання включали: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31 грудня 2024р.       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Заробiтна плата                                                            1 045                               1267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Розрахунки зi страхування</w:t>
      </w:r>
      <w:r>
        <w:rPr>
          <w:rFonts w:ascii="Times New Roman CYR" w:hAnsi="Times New Roman CYR" w:cs="Times New Roman CYR"/>
          <w:sz w:val="24"/>
          <w:szCs w:val="24"/>
        </w:rPr>
        <w:tab/>
        <w:t xml:space="preserve">                                          298                                 352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 вiдпусток</w:t>
      </w:r>
      <w:r>
        <w:rPr>
          <w:rFonts w:ascii="Times New Roman CYR" w:hAnsi="Times New Roman CYR" w:cs="Times New Roman CYR"/>
          <w:sz w:val="24"/>
          <w:szCs w:val="24"/>
        </w:rPr>
        <w:tab/>
        <w:t xml:space="preserve">                       9 644</w:t>
      </w:r>
      <w:r>
        <w:rPr>
          <w:rFonts w:ascii="Times New Roman CYR" w:hAnsi="Times New Roman CYR" w:cs="Times New Roman CYR"/>
          <w:sz w:val="24"/>
          <w:szCs w:val="24"/>
        </w:rPr>
        <w:tab/>
        <w:t xml:space="preserve">             10 371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щодо платежiв до бюджету</w:t>
      </w:r>
      <w:r>
        <w:rPr>
          <w:rFonts w:ascii="Times New Roman CYR" w:hAnsi="Times New Roman CYR" w:cs="Times New Roman CYR"/>
          <w:sz w:val="24"/>
          <w:szCs w:val="24"/>
        </w:rPr>
        <w:tab/>
        <w:t xml:space="preserve">          563</w:t>
      </w:r>
      <w:r>
        <w:rPr>
          <w:rFonts w:ascii="Times New Roman CYR" w:hAnsi="Times New Roman CYR" w:cs="Times New Roman CYR"/>
          <w:sz w:val="24"/>
          <w:szCs w:val="24"/>
        </w:rPr>
        <w:tab/>
      </w:r>
      <w:r>
        <w:rPr>
          <w:rFonts w:ascii="Times New Roman CYR" w:hAnsi="Times New Roman CYR" w:cs="Times New Roman CYR"/>
          <w:sz w:val="24"/>
          <w:szCs w:val="24"/>
        </w:rPr>
        <w:tab/>
        <w:t xml:space="preserve"> 976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за одержаними авансами</w:t>
      </w:r>
      <w:r>
        <w:rPr>
          <w:rFonts w:ascii="Times New Roman CYR" w:hAnsi="Times New Roman CYR" w:cs="Times New Roman CYR"/>
          <w:sz w:val="24"/>
          <w:szCs w:val="24"/>
        </w:rPr>
        <w:tab/>
        <w:t xml:space="preserve">          391</w:t>
      </w:r>
      <w:r>
        <w:rPr>
          <w:rFonts w:ascii="Times New Roman CYR" w:hAnsi="Times New Roman CYR" w:cs="Times New Roman CYR"/>
          <w:sz w:val="24"/>
          <w:szCs w:val="24"/>
        </w:rPr>
        <w:tab/>
      </w:r>
      <w:r>
        <w:rPr>
          <w:rFonts w:ascii="Times New Roman CYR" w:hAnsi="Times New Roman CYR" w:cs="Times New Roman CYR"/>
          <w:sz w:val="24"/>
          <w:szCs w:val="24"/>
        </w:rPr>
        <w:tab/>
        <w:t xml:space="preserve">  94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 у тому числi:</w:t>
      </w:r>
      <w:r>
        <w:rPr>
          <w:rFonts w:ascii="Times New Roman CYR" w:hAnsi="Times New Roman CYR" w:cs="Times New Roman CYR"/>
          <w:sz w:val="24"/>
          <w:szCs w:val="24"/>
        </w:rPr>
        <w:tab/>
        <w:t xml:space="preserve">        5150</w:t>
      </w:r>
      <w:r>
        <w:rPr>
          <w:rFonts w:ascii="Times New Roman CYR" w:hAnsi="Times New Roman CYR" w:cs="Times New Roman CYR"/>
          <w:sz w:val="24"/>
          <w:szCs w:val="24"/>
        </w:rPr>
        <w:tab/>
      </w:r>
      <w:r>
        <w:rPr>
          <w:rFonts w:ascii="Times New Roman CYR" w:hAnsi="Times New Roman CYR" w:cs="Times New Roman CYR"/>
          <w:sz w:val="24"/>
          <w:szCs w:val="24"/>
        </w:rPr>
        <w:tab/>
        <w:t xml:space="preserve">  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зворотна фiнансова допомога</w:t>
      </w:r>
      <w:r>
        <w:rPr>
          <w:rFonts w:ascii="Times New Roman CYR" w:hAnsi="Times New Roman CYR" w:cs="Times New Roman CYR"/>
          <w:sz w:val="24"/>
          <w:szCs w:val="24"/>
        </w:rPr>
        <w:tab/>
        <w:t xml:space="preserve">        3600</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Поточнi зобов'язання </w:t>
      </w:r>
      <w:r>
        <w:rPr>
          <w:rFonts w:ascii="Times New Roman CYR" w:hAnsi="Times New Roman CYR" w:cs="Times New Roman CYR"/>
          <w:sz w:val="24"/>
          <w:szCs w:val="24"/>
        </w:rPr>
        <w:tab/>
        <w:t xml:space="preserve">                                        1529</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Iнше: </w:t>
      </w:r>
      <w:r>
        <w:rPr>
          <w:rFonts w:ascii="Times New Roman CYR" w:hAnsi="Times New Roman CYR" w:cs="Times New Roman CYR"/>
          <w:sz w:val="24"/>
          <w:szCs w:val="24"/>
        </w:rPr>
        <w:tab/>
        <w:t xml:space="preserve">                                                                            21</w:t>
      </w:r>
      <w:r>
        <w:rPr>
          <w:rFonts w:ascii="Times New Roman CYR" w:hAnsi="Times New Roman CYR" w:cs="Times New Roman CYR"/>
          <w:sz w:val="24"/>
          <w:szCs w:val="24"/>
        </w:rPr>
        <w:tab/>
      </w:r>
      <w:r>
        <w:rPr>
          <w:rFonts w:ascii="Times New Roman CYR" w:hAnsi="Times New Roman CYR" w:cs="Times New Roman CYR"/>
          <w:sz w:val="24"/>
          <w:szCs w:val="24"/>
        </w:rPr>
        <w:tab/>
        <w:t xml:space="preserve">  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17 091</w:t>
      </w:r>
      <w:r>
        <w:rPr>
          <w:rFonts w:ascii="Times New Roman CYR" w:hAnsi="Times New Roman CYR" w:cs="Times New Roman CYR"/>
          <w:sz w:val="24"/>
          <w:szCs w:val="24"/>
        </w:rPr>
        <w:tab/>
      </w:r>
      <w:r>
        <w:rPr>
          <w:rFonts w:ascii="Times New Roman CYR" w:hAnsi="Times New Roman CYR" w:cs="Times New Roman CYR"/>
          <w:sz w:val="24"/>
          <w:szCs w:val="24"/>
        </w:rPr>
        <w:tab/>
        <w:t>13 100</w:t>
      </w:r>
      <w:r>
        <w:rPr>
          <w:rFonts w:ascii="Times New Roman CYR" w:hAnsi="Times New Roman CYR" w:cs="Times New Roman CYR"/>
          <w:sz w:val="24"/>
          <w:szCs w:val="24"/>
        </w:rPr>
        <w:tab/>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Активи у заставi та активи з обмеженим використанням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грудня 2024 року та 31 грудня 2023 року на Пiдприємствi вiдсутнi активи у заставi та активи з обмеженим використанням.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17. Оренднi зобов'язання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грудня 2024 року та 31 грудня 2023 року на Пiдприємствi вiдсутнi оренднi зобов'язання.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Власний капiтал</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рiк, що закiнчився 31 грудня 2024р., середньозважена кiлькiсть простих акцiй становила  5 473 508 простих акцiй. Привiлейованих акцiй немає. Неоплаченої частини статутного капiталу немає.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Кiлькiсть акцiй упродовж 2024 року не змiнювалася.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Суми базового/розбавленого прибутку на акцiї розраховувалися шляхом дiлення прибутку за рiк, що закiнчився 31 грудня 2024р., який приходиться на власникiв простих акцiй Товариства, на середньозважену кiлькiсть простих акцiй.</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Нижче наводиться iнформацiя про прибуток та кiлькiсть акцiй, яка була використана при обчисленнi базового/розбавленого прибутку на акцiю: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Прибуток/збиток, що приходиться на власникiв простих акцiй Товариства, за перiод </w:t>
      </w:r>
      <w:r>
        <w:rPr>
          <w:rFonts w:ascii="Times New Roman CYR" w:hAnsi="Times New Roman CYR" w:cs="Times New Roman CYR"/>
          <w:sz w:val="24"/>
          <w:szCs w:val="24"/>
        </w:rPr>
        <w:tab/>
        <w:t>(18 268)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Середньозважена кiлькiсть простих акцiй за рiк, що закiнчився 31 грудня 2024р. </w:t>
      </w:r>
      <w:r>
        <w:rPr>
          <w:rFonts w:ascii="Times New Roman CYR" w:hAnsi="Times New Roman CYR" w:cs="Times New Roman CYR"/>
          <w:sz w:val="24"/>
          <w:szCs w:val="24"/>
        </w:rPr>
        <w:tab/>
        <w:t xml:space="preserve">              5 473 508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Прибуток/збиток на акцiю, у гривнях</w:t>
      </w:r>
      <w:r>
        <w:rPr>
          <w:rFonts w:ascii="Times New Roman CYR" w:hAnsi="Times New Roman CYR" w:cs="Times New Roman CYR"/>
          <w:sz w:val="24"/>
          <w:szCs w:val="24"/>
        </w:rPr>
        <w:tab/>
        <w:t xml:space="preserve">                                                                                                 (3,34)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iз введенням воєнного стану на територiї України згiдно Указу Президента України вiд 24 лютого 2022 року №64/2022 рiчнi загальнi збори акцiонерiв ПрАТ" Запорiжсклофлюс" у 2024 року не проводились.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Резервний фонд Товариства  на 31.12.2024р. склав 594 тис. грн., на 31.12.2023р. склав 594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Iнший сукупний дохiд у 2024 роцi склав 0 тис. грн.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Схема структури власностi ПРАТ "Запорiжсклофлюс" розмiщена на власному сайтi Товариства у роздiлi "Iнформацiя для акцiонерiв та стейкхолдерiв", пiдроздiлi "Iншi документи" за посиланням: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https://www.steklo-flus.com/leftmotherdoc-ua.html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19. Операцiї зi зв'язаними сторонами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Згiдно до МСБО (IAS) 24 "Розкриття iнформацiї щодо зв'язаних сторiн", зв'язанi сторони включають: - пiдприємства, якi прямо або непрямо через одного чи бiльше посередникiв контролюють або перебувають пiд контролем, або ж перебувають пiд спiльним контролем разом з пiдприємством, яке звiтує (сюди входять холдинговi компанiї, дочiрнi пiдприємства або спорiдненi дочiрнi пiдприємства); - асоцiйованi компанiї - пiдприємства, на дiяльнiсть яких iнвестор має суттєвий вплив i якi не являються нi дочiрнiми, нi спiльним пiдприємством iнвестора; - фiзичних осiб, якi прямо або непрямо володiють суттєвим вiдсотком голосiв у пiдприємствi, що звiтує i в результатi мають суттєвий вплив на це пiдприємство, а також близьких членiв родини кожної такої фiзичної особи; - провiдного управлiнського персоналу, тобто тих осiб, що мають повноваження та є вiдповiдальними за планування, керування та контроль дiяльностi пiдприємства, що звiтує, в тому числi директорiв та керiвникiв компанiй i близьких членiв родин таких осiб; - пiдприємств, в яких суттєвий вiдсоток голосiв належить, прямо або непрямо, особi, зазначенiй в пунктах (в) чи (г), чи тi, на дiяльнiсть яких така особа здатна здiйснювати суттєвий вплив. Це охоплює пiдприємства, що належать директорам або головним акцiонерам пiдприємства, яке звiтує, i пiдприємства, що мають члена провiдного управлiнського персоналу разом з пiдприємством, яке звiтує. Рiшення про те якi сторони являються зв'язаними приймають не тiльки на основi їх юридичної форми, але i виходячи з характеру стосункiв зв'язаних сторiн. До зв'язаних сторiн </w:t>
      </w:r>
      <w:r>
        <w:rPr>
          <w:rFonts w:ascii="Times New Roman CYR" w:hAnsi="Times New Roman CYR" w:cs="Times New Roman CYR"/>
          <w:sz w:val="24"/>
          <w:szCs w:val="24"/>
        </w:rPr>
        <w:lastRenderedPageBreak/>
        <w:t>пiдприємства входять пiдприємства, що прямо або непрямо, через одне або бiльше пiдприємств, контролюють пiдприємство чи контролюються ним, чи контролюються спiльно з пiдприємством та/або керiвництвом пiдприємства.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Пов'язаними сторонами пiдприємства є:</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 "Укртрейдiнвестпроект" (код ЄДРПОУ 34067094),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 "Торговий будинок Кисень-Постача" (код ЄДРПОУ 32372349),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 "УКРСИЛIКАТ" (код ЄДРПОУ 38461140),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 "ТБ УКРСИЛIКАТ" (код ЄДРПОУ 38783573) до серпня 2024р.,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 "ГРIНВУД УКРАЇНА" (код ЄДРПОУ 37056478)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Мiрiленко Л.М,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Оселедчик С.Ю.,</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Нетяга В.I.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Фактично контролюючою особою є Мiрiленко Людмила Миколаївна.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операцiї мiж пов'язаними сторонами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2024р.</w:t>
      </w:r>
      <w:r>
        <w:rPr>
          <w:rFonts w:ascii="Times New Roman CYR" w:hAnsi="Times New Roman CYR" w:cs="Times New Roman CYR"/>
          <w:sz w:val="24"/>
          <w:szCs w:val="24"/>
        </w:rPr>
        <w:tab/>
        <w:t>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Продаж готової продукцiї (товарiв, робiт, послуг)</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Придбання запасiв</w:t>
      </w:r>
      <w:r>
        <w:rPr>
          <w:rFonts w:ascii="Times New Roman CYR" w:hAnsi="Times New Roman CYR" w:cs="Times New Roman CYR"/>
          <w:sz w:val="24"/>
          <w:szCs w:val="24"/>
        </w:rPr>
        <w:tab/>
        <w:t xml:space="preserve">                                                                324,8</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 з переробки давальницької сировини</w:t>
      </w:r>
      <w:r>
        <w:rPr>
          <w:rFonts w:ascii="Times New Roman CYR" w:hAnsi="Times New Roman CYR" w:cs="Times New Roman CYR"/>
          <w:sz w:val="24"/>
          <w:szCs w:val="24"/>
        </w:rPr>
        <w:tab/>
        <w:t>3                            1072,5</w:t>
      </w:r>
      <w:r>
        <w:rPr>
          <w:rFonts w:ascii="Times New Roman CYR" w:hAnsi="Times New Roman CYR" w:cs="Times New Roman CYR"/>
          <w:sz w:val="24"/>
          <w:szCs w:val="24"/>
        </w:rPr>
        <w:tab/>
        <w:t>32645,2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Залишок торгової заборгованостi пов'язаних сторiн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перед пiдприємством станом на кiнець перiоду</w:t>
      </w:r>
      <w:r>
        <w:rPr>
          <w:rFonts w:ascii="Times New Roman CYR" w:hAnsi="Times New Roman CYR" w:cs="Times New Roman CYR"/>
          <w:sz w:val="24"/>
          <w:szCs w:val="24"/>
        </w:rPr>
        <w:tab/>
        <w:t xml:space="preserve">                  10,0</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пiдприємства перед пов'язаними сторонами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кiнець перiоду</w:t>
      </w:r>
      <w:r>
        <w:rPr>
          <w:rFonts w:ascii="Times New Roman CYR" w:hAnsi="Times New Roman CYR" w:cs="Times New Roman CYR"/>
          <w:sz w:val="24"/>
          <w:szCs w:val="24"/>
        </w:rPr>
        <w:tab/>
        <w:t xml:space="preserve">                                                              2222,8</w:t>
      </w:r>
      <w:r>
        <w:rPr>
          <w:rFonts w:ascii="Times New Roman CYR" w:hAnsi="Times New Roman CYR" w:cs="Times New Roman CYR"/>
          <w:sz w:val="24"/>
          <w:szCs w:val="24"/>
        </w:rPr>
        <w:tab/>
        <w:t>845,8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надавались пов'язаним сторонам та отримувались вiд пов'язаних сторiн позики.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Рiк</w:t>
      </w:r>
      <w:r>
        <w:rPr>
          <w:rFonts w:ascii="Times New Roman CYR" w:hAnsi="Times New Roman CYR" w:cs="Times New Roman CYR"/>
          <w:sz w:val="24"/>
          <w:szCs w:val="24"/>
        </w:rPr>
        <w:tab/>
        <w:t>Залишок на початок перiоду</w:t>
      </w:r>
      <w:r>
        <w:rPr>
          <w:rFonts w:ascii="Times New Roman CYR" w:hAnsi="Times New Roman CYR" w:cs="Times New Roman CYR"/>
          <w:sz w:val="24"/>
          <w:szCs w:val="24"/>
        </w:rPr>
        <w:tab/>
        <w:t xml:space="preserve">  Надано позики </w:t>
      </w:r>
      <w:r>
        <w:rPr>
          <w:rFonts w:ascii="Times New Roman CYR" w:hAnsi="Times New Roman CYR" w:cs="Times New Roman CYR"/>
          <w:sz w:val="24"/>
          <w:szCs w:val="24"/>
        </w:rPr>
        <w:tab/>
        <w:t>Отримано позики</w:t>
      </w:r>
      <w:r>
        <w:rPr>
          <w:rFonts w:ascii="Times New Roman CYR" w:hAnsi="Times New Roman CYR" w:cs="Times New Roman CYR"/>
          <w:sz w:val="24"/>
          <w:szCs w:val="24"/>
        </w:rPr>
        <w:tab/>
        <w:t>Погашено позики</w:t>
      </w:r>
      <w:r>
        <w:rPr>
          <w:rFonts w:ascii="Times New Roman CYR" w:hAnsi="Times New Roman CYR" w:cs="Times New Roman CYR"/>
          <w:sz w:val="24"/>
          <w:szCs w:val="24"/>
        </w:rPr>
        <w:tab/>
        <w:t>Залишок на кiнець перiоду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Фiндопомога видана 2023 за первiсною вартiстю</w:t>
      </w:r>
      <w:r>
        <w:rPr>
          <w:rFonts w:ascii="Times New Roman CYR" w:hAnsi="Times New Roman CYR" w:cs="Times New Roman CYR"/>
          <w:sz w:val="24"/>
          <w:szCs w:val="24"/>
        </w:rPr>
        <w:tab/>
        <w:t>370,0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120,0</w:t>
      </w:r>
      <w:r>
        <w:rPr>
          <w:rFonts w:ascii="Times New Roman CYR" w:hAnsi="Times New Roman CYR" w:cs="Times New Roman CYR"/>
          <w:sz w:val="24"/>
          <w:szCs w:val="24"/>
        </w:rPr>
        <w:tab/>
        <w:t>250,0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Фiндопомога видана 2024 за первiсною вартiстю</w:t>
      </w:r>
      <w:r>
        <w:rPr>
          <w:rFonts w:ascii="Times New Roman CYR" w:hAnsi="Times New Roman CYR" w:cs="Times New Roman CYR"/>
          <w:sz w:val="24"/>
          <w:szCs w:val="24"/>
        </w:rPr>
        <w:tab/>
        <w:t>250,0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120,0</w:t>
      </w:r>
      <w:r>
        <w:rPr>
          <w:rFonts w:ascii="Times New Roman CYR" w:hAnsi="Times New Roman CYR" w:cs="Times New Roman CYR"/>
          <w:sz w:val="24"/>
          <w:szCs w:val="24"/>
        </w:rPr>
        <w:tab/>
        <w:t>130,0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Фiндопомога отримана 2024 за первiсною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        2 600,0</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2 600,0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 операцiям, якi вiдбувались у звiтному перiодi з керiвником пiдприємства.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винагороди за виконання службових обов'язкiв</w:t>
      </w:r>
      <w:r>
        <w:rPr>
          <w:rFonts w:ascii="Times New Roman CYR" w:hAnsi="Times New Roman CYR" w:cs="Times New Roman CYR"/>
          <w:sz w:val="24"/>
          <w:szCs w:val="24"/>
        </w:rPr>
        <w:tab/>
        <w:t xml:space="preserve">            2 849,4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Наявнiсть у контрактi додаткових виплат керiвнику у разi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досягнення пiдприємством встановлених показникiв</w:t>
      </w:r>
      <w:r>
        <w:rPr>
          <w:rFonts w:ascii="Times New Roman CYR" w:hAnsi="Times New Roman CYR" w:cs="Times New Roman CYR"/>
          <w:sz w:val="24"/>
          <w:szCs w:val="24"/>
        </w:rPr>
        <w:tab/>
        <w:t xml:space="preserve">                    Не передбачено</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Володiння акцiями</w:t>
      </w:r>
      <w:r>
        <w:rPr>
          <w:rFonts w:ascii="Times New Roman CYR" w:hAnsi="Times New Roman CYR" w:cs="Times New Roman CYR"/>
          <w:sz w:val="24"/>
          <w:szCs w:val="24"/>
        </w:rPr>
        <w:tab/>
        <w:t xml:space="preserve">                                                                                        19,40389%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Нарахованi та виплаченi дивiденди у звiтному роцi</w:t>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Позики, наданi пiдприємством керiвнику у звiтному роцi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Позики, виданi керiвником пiдприємству у звiтному роцi</w:t>
      </w:r>
      <w:r>
        <w:rPr>
          <w:rFonts w:ascii="Times New Roman CYR" w:hAnsi="Times New Roman CYR" w:cs="Times New Roman CYR"/>
          <w:sz w:val="24"/>
          <w:szCs w:val="24"/>
        </w:rPr>
        <w:tab/>
        <w:t xml:space="preserve">                          2000,0</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керiвника перед пiдприємством на кiнець року</w:t>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пiдприємства перед керiвником на кiнець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тому числi позики</w:t>
      </w:r>
      <w:r>
        <w:rPr>
          <w:rFonts w:ascii="Times New Roman CYR" w:hAnsi="Times New Roman CYR" w:cs="Times New Roman CYR"/>
          <w:sz w:val="24"/>
          <w:szCs w:val="24"/>
        </w:rPr>
        <w:tab/>
        <w:t xml:space="preserve">                                                                           2121,3</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Ключовий управлiнський персонал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Ключовий управлiнський персонал в 2024 роцi не змiнювався, як i в 2023 складався з наглядової ради, дирекцiї, заступникiв генерального директора, головного iнженера, головного бухгалтера.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iз ключовим управлiнським персоналом, пов'язаними сторонами  та їх близькими членами родини вiдбувались наступнi операцiї:</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2024р.</w:t>
      </w:r>
      <w:r>
        <w:rPr>
          <w:rFonts w:ascii="Times New Roman CYR" w:hAnsi="Times New Roman CYR" w:cs="Times New Roman CYR"/>
          <w:sz w:val="24"/>
          <w:szCs w:val="24"/>
        </w:rPr>
        <w:tab/>
        <w:t>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Нарахована зарплата управлiнському персоналу </w:t>
      </w:r>
      <w:r>
        <w:rPr>
          <w:rFonts w:ascii="Times New Roman CYR" w:hAnsi="Times New Roman CYR" w:cs="Times New Roman CYR"/>
          <w:sz w:val="24"/>
          <w:szCs w:val="24"/>
        </w:rPr>
        <w:tab/>
        <w:t>6077,2</w:t>
      </w:r>
      <w:r>
        <w:rPr>
          <w:rFonts w:ascii="Times New Roman CYR" w:hAnsi="Times New Roman CYR" w:cs="Times New Roman CYR"/>
          <w:sz w:val="24"/>
          <w:szCs w:val="24"/>
        </w:rPr>
        <w:tab/>
        <w:t>6828,5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Нарахована винагорода членам Наглядової ради</w:t>
      </w:r>
      <w:r>
        <w:rPr>
          <w:rFonts w:ascii="Times New Roman CYR" w:hAnsi="Times New Roman CYR" w:cs="Times New Roman CYR"/>
          <w:sz w:val="24"/>
          <w:szCs w:val="24"/>
        </w:rPr>
        <w:tab/>
        <w:t>4130,5</w:t>
      </w:r>
      <w:r>
        <w:rPr>
          <w:rFonts w:ascii="Times New Roman CYR" w:hAnsi="Times New Roman CYR" w:cs="Times New Roman CYR"/>
          <w:sz w:val="24"/>
          <w:szCs w:val="24"/>
        </w:rPr>
        <w:tab/>
        <w:t>4736,6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нарахування управлiнському персоналу, </w:t>
      </w:r>
      <w:r>
        <w:rPr>
          <w:rFonts w:ascii="Times New Roman CYR" w:hAnsi="Times New Roman CYR" w:cs="Times New Roman CYR"/>
          <w:sz w:val="24"/>
          <w:szCs w:val="24"/>
        </w:rPr>
        <w:tab/>
        <w:t xml:space="preserve">                  193,1</w:t>
      </w:r>
      <w:r>
        <w:rPr>
          <w:rFonts w:ascii="Times New Roman CYR" w:hAnsi="Times New Roman CYR" w:cs="Times New Roman CYR"/>
          <w:sz w:val="24"/>
          <w:szCs w:val="24"/>
        </w:rPr>
        <w:tab/>
        <w:t>375,7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 тому числi матерiальна допомога</w:t>
      </w:r>
      <w:r>
        <w:rPr>
          <w:rFonts w:ascii="Times New Roman CYR" w:hAnsi="Times New Roman CYR" w:cs="Times New Roman CYR"/>
          <w:sz w:val="24"/>
          <w:szCs w:val="24"/>
        </w:rPr>
        <w:tab/>
        <w:t xml:space="preserve">                                  148,7</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вихiдна допомога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нарахування членам Наглядової ради, </w:t>
      </w:r>
      <w:r>
        <w:rPr>
          <w:rFonts w:ascii="Times New Roman CYR" w:hAnsi="Times New Roman CYR" w:cs="Times New Roman CYR"/>
          <w:sz w:val="24"/>
          <w:szCs w:val="24"/>
        </w:rPr>
        <w:tab/>
        <w:t xml:space="preserve">                1089,3</w:t>
      </w:r>
      <w:r>
        <w:rPr>
          <w:rFonts w:ascii="Times New Roman CYR" w:hAnsi="Times New Roman CYR" w:cs="Times New Roman CYR"/>
          <w:sz w:val="24"/>
          <w:szCs w:val="24"/>
        </w:rPr>
        <w:tab/>
        <w:t>505,8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 тому числi матерiальна допомога</w:t>
      </w:r>
      <w:r>
        <w:rPr>
          <w:rFonts w:ascii="Times New Roman CYR" w:hAnsi="Times New Roman CYR" w:cs="Times New Roman CYR"/>
          <w:sz w:val="24"/>
          <w:szCs w:val="24"/>
        </w:rPr>
        <w:tab/>
        <w:t xml:space="preserve">                                1063,0</w:t>
      </w:r>
      <w:r>
        <w:rPr>
          <w:rFonts w:ascii="Times New Roman CYR" w:hAnsi="Times New Roman CYR" w:cs="Times New Roman CYR"/>
          <w:sz w:val="24"/>
          <w:szCs w:val="24"/>
        </w:rPr>
        <w:tab/>
        <w:t>212,1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вихiдна допомога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заборгованiсть пiдприємства перед управлiнським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персоналом, станом на кiнець звiтного року</w:t>
      </w:r>
      <w:r>
        <w:rPr>
          <w:rFonts w:ascii="Times New Roman CYR" w:hAnsi="Times New Roman CYR" w:cs="Times New Roman CYR"/>
          <w:sz w:val="24"/>
          <w:szCs w:val="24"/>
        </w:rPr>
        <w:tab/>
        <w:t xml:space="preserve">                  422,6</w:t>
      </w:r>
      <w:r>
        <w:rPr>
          <w:rFonts w:ascii="Times New Roman CYR" w:hAnsi="Times New Roman CYR" w:cs="Times New Roman CYR"/>
          <w:sz w:val="24"/>
          <w:szCs w:val="24"/>
        </w:rPr>
        <w:tab/>
        <w:t>442,7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 Операцiйнi ризики, фактичнi та умовнi зобов'язання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Загальнi економiчнi умови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здiйснює свою виробничу дiяльнiсть в Українi. В результатi вiйськової агресiї росiї в Українi розгорнулась широкомасштабна економiчна криза. Українська економiка опинилася в ситуацiї, коли мiльйони людей виїхали за межi країни, сотнi тисяч працездатних громадян були мобiлiзованi на фронт, десятки тисяч пiдприємств були змушенi зупинити роботу.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Три роки вiйни принесли багато жертв i втрат. Однак поряд з цим Україна отримала низку впевнених перемог на фронтi, завдяки пiдтримки коалiцiї країн з воєнної та фiнансової  пiдтримки України.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здобутки 2024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минулому роцi вiдновлення економiки тривало, хоча й сповiльнилося через напружену ситуацiю на фронтi, збiльшення кiлькостi росiйських повiтряних атак та пов'язаний з цим дефiцит електроенергiї, а також гiршi врожаї. За оцiнками НБУ, у 2024 роцi реальний ВВП України зрiс на 3,4%. Такого результату вдалося досягти завдяки незламностi ЗСУ, стiйкостi бiзнесу та населення, збереженню значної мiжнародної пiдтримки й державним заходам iз вiдбудови iнфраструктури та соцiального захисту.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чинниками, що стримують економiку, й надалi залишаються наслiдки вiйни: руйнування критичної iнфраструктури, виробництв, а також брак працiвникiв на пiдприємствах через мiграцiйнi та мобiлiзацiйнi процеси. Попри такi складнощi очiкується, що у 2025-2027 роках економiка зростатиме приблизно на 4% щорiчно. Подальшому вiдновленню сприятиме як очiкуване нарощування врожаїв, так i зростання iнвестицiй у вiдбудову України, у тому числi з боку приватного бiзнесу та iноземних iнвесторiв.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Мiжнародна пiдтримка залишиться важливою опорою вiдновлення України. Значний поштовх українськiй економiцi може дати також пришвидшення євроiнтеграцiї. Подальше наближення України до вступу в ЄС посилюватиме iнтерес мiжнародного бiзнесу до нашої країни.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Ситуацiя на ринку працi залишається досить напруженою через брак працiвникiв. Причина цього - мiграцiйнi та мобiлiзацiйнi процеси, зумовленi вiйною. Хоча кiлькiсть резюме на сайтах iз працевлаштування зросла, нестача робiтникiв згiдно з опитуваннями пiдприємств досi є головною </w:t>
      </w:r>
      <w:r>
        <w:rPr>
          <w:rFonts w:ascii="Times New Roman CYR" w:hAnsi="Times New Roman CYR" w:cs="Times New Roman CYR"/>
          <w:sz w:val="24"/>
          <w:szCs w:val="24"/>
        </w:rPr>
        <w:lastRenderedPageBreak/>
        <w:t xml:space="preserve">перешкодою для їхньої дiяльностi.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Водночас висока конкуренцiя бiзнесу за робiтникiв стимулює подальше зростання зарплат. Так, вже наприкiнцi минулого року реальнi зарплати в пiдприємствах рiзних видiв дiяльностi були переважно бiльшими, нiж до повномасштабного вторгнення.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минулий рiк споживчi цiни зросли на 12%. Основною причиною посилення iнфляцiйного тиску було подорожчання продуктiв харчування внаслiдок гiрших урожаїв. Вiйна, звiсно, також впливала на цiни. Зокрема, через росiйськi атаки на енергетичну iнфраструктуру збiльшилися витрати бiзнесу на електроенергiю. А мобiлiзацiйнi процеси призвели до суттєвiших витрат бiзнесу на пошук працiвникiв та оплату працi. Позначилося на цiнах i послаблення курсу гривнi.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ризики 2025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обставинах триваючої вiйськової агресiї рф проти України, питання стабiльного функцiонування українського бiзнесу все ще залишається вiдкритим i, вочевидь, дане пов'язано не тiльки з ризиками, якi в нормальних економiчних i полiтичних умовах, безумовно, присутнi в будь-якому бiзнес процесi. Натомiсть ризики, що супроводжують український бiзнес з кiнця лютого 2022 року, вочевидь продовжать своє iснування i в 2025 роцi та, якi умовно можна подiлити на зовнiшнi та внутрiшнi, що нерозривно пов'язанi мiж собою.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продовження вiйськових дiй на територiї України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Хоча протягом майже трьох рокiв широкомасштабних вiйськових дiй на територiї України, бiзнес середовище пристосувалося до нових реалiй та умов ведення бiзнесу, але тимчасова окупацiя частини територiї України, руйнування виробничих потужностей, iнфраструктури або навiть цiлих пiдприємств, розрив ланцюгiв постачання та експорту в цiлому змiнили економiку, як окремих пiдприємств, так i країни. Український бiзнес зазнав колосальних збиткiв вiд злочинних дiй рф, що стало причиною, серед iншого, скорочень кiлькостi пiдприємств - платникiв податкiв, з числа яких формується дохiдна частина бюджету країни. Подальше продовження вiйськових дiй є негативною передумовою того, що  значна кiлькiсть пiдприємств вимушена здiйснювати релокацiю власних виробничих потужностей до iнших країн, що є вкрай негативним явищем для економiки нашої країни. Складнiсть планування власних економiчних результатiв в умовах вiйни є джерелом невизначеностi щодо поточних ризикiв пiдприємства та його можливостей на ринку.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затримки, призупинення, зменшення обсягу фiнансування з боку мiжнародних партнерiв України.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 обсягiв мiжнародної фiнансової допомоги перш за все залежить безпекова ситуацiя нашої країни. Зниження обсягiв та порушення ритмiчностi мiжнародної пiдтримки України через полiтичнi процеси в країнах-партнерах може заподiяти суттєву шкоду як фiнансовiй стабiльностi, так i обороноздатностi країни.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 розмiру та стабiльностi мiжнародної фiнансової пiдтримки, залежить також розмiр видаткiв, який закладається в державний бюджет на оборонну сферу та нейтралiзацiю або пом'якшення "безпекових ризикiв". Окрiм того, системна фiнансова пiдтримка з боку мiжнародних партнерiв, дає можливiсть державi фiнансувати рiзноманiтнi програми для пiдтримки бiзнесу, фiнансувати його кредитування, частково компенсувати втрачений </w:t>
      </w:r>
      <w:r>
        <w:rPr>
          <w:rFonts w:ascii="Times New Roman CYR" w:hAnsi="Times New Roman CYR" w:cs="Times New Roman CYR"/>
          <w:sz w:val="24"/>
          <w:szCs w:val="24"/>
        </w:rPr>
        <w:lastRenderedPageBreak/>
        <w:t>попит через мiграцiю та логiстичнi проблеми, шляхом розширення бюджетного фiнансування, сприяє здiйсненню належних податкових реформ та прийняттю рiшень з дерегуляцiї, пiдвищенню сприятливого iнвестицiйного клiмату тощо. Окрiм того, мiжнародна фiнансова допомога є основним джерелом видаткiв на вiдновлення зруйнованої iнфраструктури.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складаннi цiєї фiнансової звiтностi враховувалися вiдомi та оцiнюванi результати вищезазначених чинникiв на фiнансовий стан i результати дiяльностi Пiдприємства у звiтному перiодi. Керiвництво Пiдприємства стежить за станом розвитку поточної ситуацiї та вважає, що воно вживає всiх необхiдних заходiв для пiдтримки економiчної стабiльностi пiдприємства та розвитку бiзнесу в умовах, що склалися i це дозволить адекватно реагувати на можливе погiршення ситуацiї. Одними з основних принципiв побудови стратегiї пiдприємства є диверсифiкацiя асортименту виробленої продукцiї та ринкiв збуту.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Податкове та iнше законодавство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Українське податкове, валютне i митне законодавство продовжує змiнюватися. В останнi роки законодавство про податки i збори все частiше пiддається змiнам, доповненням i уточненням, що стосуються як загальних питань оподаткування, так i порядку обчислення i сплати окремих податкiв. При цьому зробити прогнози стосовно впровадження цих змiн та їх впливу на фiнансовi потоки пiдприємства досить складно. Спiрнi нормативнi акти стають причиною рiзних тлумачень.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керiвництва, його тлумачення  податкового законодавства, а також нормативної бази з iнших питань, зокрема, валютного контролю та митного законодавства є належними i надiйними. Але немає гарантiй того, що вони не стануть причиною претензiй з боку податкових органiв, у зв'язку з нечiткiстю та суперечливiстю у застосуваннi українського податкового законодавства.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вважає, що дiяльнiсть пiдприємства здiйснюється у повнiй вiдповiдностi з дiючим законодавством, що регулює його дiяльнiсть, i що пiдприємство нарахувало та сплатило всi вiдповiднi податки.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"Запорiжсклофлюс" виконує всi вимоги податкового законодавства, здiйснює постiйний монiторинг змiн i доповнень, внесених у закони та iншi нормативнi правовi акти, що стосуються оподаткування, оцiнює i прогнозує ступiнь можливого впливу таких змiн на дiяльнiсть, але в умовах недосконалого i часто мiнливого податкового законодавства не можна виключати ризикiв пред'явлення  податкових претензiй. Податковий рiк залишається вiдкритим для податкових перевiрок протягом трьох наступних календарних рокiв, однак за певних обставин цей термiн може бути продовжений. Цi факти створюють набагато серйознiшi податковi ризики в Українi, нiж ризики, якi є типовими для країн з бiльш розвиненими системами оподаткування.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ПрАТ "Запорiжсклофлюс" як законослухняний платник податкiв докладає всiх зусиль, спрямованих на  дотримання податкового законодавства, а в разi необхiдностi, вдається до захисту своїх позицiй в судах.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позови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ходi звичайної дiяльностi Товариство виступає стороною судових позовiв i претензiй.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вважає, що максимальна вiдповiдальнiсть, яка може виникнути у результатi таких позовiв та претензiй, не буде мати суттєвого негативного впливу на фiнансовий стан i результати дiяльностi Товариства у майбутньому.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Дотримання вимог законодавства щодо охорони навколишнього середовища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заходiв iз дотримання природоохоронного законодавства в Українi знаходиться на етапi розвитку, i позицiя органiв влади щодо його виконання постiйно переглядається У випадку виникнення зобов'язань, вони визнаються у фiнансовiй звiтностi у тому перiодi, в якому вони виникли. Потенцiйнi зобов'язання, якi можуть виникнути внаслiдок змiни чинних норм та законодавства, а також судових процесiв, не пiддаються оцiнцi, проте можуть мати суттєвий вплив. Дiяльнiсть Товариства пiдпадає пiд нормативнi заходи контролю щодо охорони навколишнього середовища. Така дiяльнiсть передбачає отримання квот та лiцензiй на допустимi викиди в атмосферу шкiдливих (забруднюючих) речовин, забруднення вод i скидання вiдходiв. Перевищення будь-яких iз зазначених квот може мати негативний вплив на можливiсть здiйснення безперервної господарської дiяльностi в майбутньому. За поточних правил, якi забезпечують дотримання вимог чинного законодавства, Товариство вважає, що її дiяльнiсть здiйснюється у повнiй вiдповiдностi до вимог законодавства щодо охорони навколишнього середовища, що дiяли станом на 31 грудня 2024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 землi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в основному, користується земельними дiлянками на пiдставi державних актiв на власнiсть землi. На земельних дiлянках розташовуються виробничi потужностi та об'єкти соцiальної сфери. Пiдприємство сплачує орендну плату за земельнi дiлянки державної або комунальної власностi або земельний податок з урахуванням щорiчного коефiцiєнта iндексацiї грошової оцiнки землi.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Управлiння фiнансовими ризиками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ходi своєї дiяльностi Товариство наражається на численнi фiнансовi ризики, серед яких ринковий ризик (у тому числi цiновий ризик, валютний ризик, ризик грошових потокiв та ризик справедливої вартостi процентної ставки), кредитний ризик та ризик лiквiдностi. Основними цiлями управлiння фiнансовими ризиками є визначення лiмiтiв ризику й нагляд за тим, щоб цi лiмiти не перевищувалися.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 це ризик того, що контрагент не виконає своїх зобов'язань за фiнансовими iнструментами або за контрактом, що може призвести </w:t>
      </w:r>
      <w:r>
        <w:rPr>
          <w:rFonts w:ascii="Times New Roman CYR" w:hAnsi="Times New Roman CYR" w:cs="Times New Roman CYR"/>
          <w:sz w:val="24"/>
          <w:szCs w:val="24"/>
        </w:rPr>
        <w:lastRenderedPageBreak/>
        <w:t>до фiнансових збиткiв. Кредитний ризик виникає в результатi кредитних та iнших операцiй Товариства з контрагентами, внаслiдок яких виникають фiнансовi активи. Кредитний ризик пiдприємства пов'язаний з невиконанням клiєнтами своїх зобов'язань обмежується балансовою вартiстю торгової дебiторської заборгованостi (Примiтка 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iнструменти, якi зазнають кредитного ризику, в основному включають довгострокову дебiторську заборгованiсть, поточну торгову дебiторську заборгованiсть та iншу дебiторську заборгованiсть.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керiвництва Товариства, кредитний ризик належним чином врахований у створених резервах на знецiнення вiдповiдних активiв (дивись Примiтку 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Монiторинг та аналiз кредитного ризику здiйснюється окремо за кожним випадком. Кредитнi оцiнки виконуються щодо всiх клiєнтiв, якi хочуть отримати кредит понад встановлений лiмiт.</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аналiзує непогашену дебiторську заборгованiсть за строками погашення та у подальшому контролює простроченi залишки. Таким чином, керiвництво  вважає за необхiдне надавати у цiй фiнансовiй звiтностi iнформацiю про строки прострочення заборгованостi та iншi данi про кредитний ризик.</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полягає у тому, що змiни ринкових курсiв, таких як валютнi курси, процентнi ставки i курси цiнних паперiв, будуть впливати на доходи або на вартiсть фiнансових iнструментiв Товариства.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наражається на ринковi ризики, що виникають у зв'язку з вiдкритими позицiями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 в iноземних валютах,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 процентних активiв та зобов'язань, якi значним чином залежать вiд загальних та конкретних ринкових змiн,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 цiновий ризик.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встановлює лiмiти сум ризику, що може бути прийнятий Товариством, та щоденно контролює їхнє дотримання. Проте застосування такого пiдходу не запобiгає виникненню збиткiв за межами цих лiмiтiв у випадку суттєвих ринкових змiн.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Показана далi чутливiсть до ринкових ризикiв передбачає змiну одного фактору при незмiнностi решти факторiв. На практицi таке трапляється дуже рiдко, i змiни деяких факторiв можуть бути взаємопов'язанi - наприклад, змiни процентних ставок та змiни курсiв обмiну.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Валютний ризик. Функцiональною валютою Товариства є гривня - валюта первинного економiчного середовища, в якому воно працює.</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Монетарнi активи i зобов'язання в iноземнiй валютi перераховуються у функцiональну валюту за офiцiйним обмiнним курсом Нацiонального банку України (НБУ) станом на кiнець кожного звiтного перiоду. Прибутки i збитки вiд курсових рiзниць, що виникають у результатi розрахункiв по операцiях i перерахунку монетарних активiв i зобов'язань, вiдображаються у складi прибутку чи збитку.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курси обмiну, що застосовувались для перерахунку сум та операцiй в iноземнiй валютi на дату балансу, були такими: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гривнях</w:t>
      </w:r>
      <w:r>
        <w:rPr>
          <w:rFonts w:ascii="Times New Roman CYR" w:hAnsi="Times New Roman CYR" w:cs="Times New Roman CYR"/>
          <w:sz w:val="24"/>
          <w:szCs w:val="24"/>
        </w:rPr>
        <w:tab/>
        <w:t xml:space="preserve">                    31 грудня 2024 р.</w:t>
      </w:r>
      <w:r>
        <w:rPr>
          <w:rFonts w:ascii="Times New Roman CYR" w:hAnsi="Times New Roman CYR" w:cs="Times New Roman CYR"/>
          <w:sz w:val="24"/>
          <w:szCs w:val="24"/>
        </w:rPr>
        <w:tab/>
        <w:t>31 грудня 2023 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 гривнi до долара США        42,0390                                 37,9824</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 гривнi до євро</w:t>
      </w:r>
      <w:r>
        <w:rPr>
          <w:rFonts w:ascii="Times New Roman CYR" w:hAnsi="Times New Roman CYR" w:cs="Times New Roman CYR"/>
          <w:sz w:val="24"/>
          <w:szCs w:val="24"/>
        </w:rPr>
        <w:tab/>
        <w:t xml:space="preserve">      43,9266</w:t>
      </w:r>
      <w:r>
        <w:rPr>
          <w:rFonts w:ascii="Times New Roman CYR" w:hAnsi="Times New Roman CYR" w:cs="Times New Roman CYR"/>
          <w:sz w:val="24"/>
          <w:szCs w:val="24"/>
        </w:rPr>
        <w:tab/>
        <w:t xml:space="preserve">                    42,2079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рахунок змiн валютних курсiв у 2024роцi Товариством були отриманi такi результати: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 продажу валюти через банкiвськi установи було отримано прибутки, якi в 2024 роцi суттєво зменшилися у порiвняннi з показниками 2023року, а саме : прибутки зменшилися на 17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вiд операцiй з купiвлi / продажу валюти: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2024рiк</w:t>
      </w:r>
      <w:r>
        <w:rPr>
          <w:rFonts w:ascii="Times New Roman CYR" w:hAnsi="Times New Roman CYR" w:cs="Times New Roman CYR"/>
          <w:sz w:val="24"/>
          <w:szCs w:val="24"/>
        </w:rPr>
        <w:tab/>
        <w:t>2023 рiк</w:t>
      </w:r>
      <w:r>
        <w:rPr>
          <w:rFonts w:ascii="Times New Roman CYR" w:hAnsi="Times New Roman CYR" w:cs="Times New Roman CYR"/>
          <w:sz w:val="24"/>
          <w:szCs w:val="24"/>
        </w:rPr>
        <w:tab/>
        <w:t>змiна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купiвлi/продажу валюти</w:t>
      </w:r>
      <w:r>
        <w:rPr>
          <w:rFonts w:ascii="Times New Roman CYR" w:hAnsi="Times New Roman CYR" w:cs="Times New Roman CYR"/>
          <w:sz w:val="24"/>
          <w:szCs w:val="24"/>
        </w:rPr>
        <w:tab/>
        <w:t xml:space="preserve">               4</w:t>
      </w:r>
      <w:r>
        <w:rPr>
          <w:rFonts w:ascii="Times New Roman CYR" w:hAnsi="Times New Roman CYR" w:cs="Times New Roman CYR"/>
          <w:sz w:val="24"/>
          <w:szCs w:val="24"/>
        </w:rPr>
        <w:tab/>
        <w:t>29</w:t>
      </w:r>
      <w:r>
        <w:rPr>
          <w:rFonts w:ascii="Times New Roman CYR" w:hAnsi="Times New Roman CYR" w:cs="Times New Roman CYR"/>
          <w:sz w:val="24"/>
          <w:szCs w:val="24"/>
        </w:rPr>
        <w:tab/>
        <w:t>(25)</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купiвлi/продажу валюти</w:t>
      </w:r>
      <w:r>
        <w:rPr>
          <w:rFonts w:ascii="Times New Roman CYR" w:hAnsi="Times New Roman CYR" w:cs="Times New Roman CYR"/>
          <w:sz w:val="24"/>
          <w:szCs w:val="24"/>
        </w:rPr>
        <w:tab/>
        <w:t xml:space="preserve">              (3)</w:t>
      </w:r>
      <w:r>
        <w:rPr>
          <w:rFonts w:ascii="Times New Roman CYR" w:hAnsi="Times New Roman CYR" w:cs="Times New Roman CYR"/>
          <w:sz w:val="24"/>
          <w:szCs w:val="24"/>
        </w:rPr>
        <w:tab/>
        <w:t>(11)</w:t>
      </w:r>
      <w:r>
        <w:rPr>
          <w:rFonts w:ascii="Times New Roman CYR" w:hAnsi="Times New Roman CYR" w:cs="Times New Roman CYR"/>
          <w:sz w:val="24"/>
          <w:szCs w:val="24"/>
        </w:rPr>
        <w:tab/>
        <w:t>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 результат вiд валютних рiзниць</w:t>
      </w:r>
      <w:r>
        <w:rPr>
          <w:rFonts w:ascii="Times New Roman CYR" w:hAnsi="Times New Roman CYR" w:cs="Times New Roman CYR"/>
          <w:sz w:val="24"/>
          <w:szCs w:val="24"/>
        </w:rPr>
        <w:tab/>
        <w:t xml:space="preserve">               1</w:t>
      </w:r>
      <w:r>
        <w:rPr>
          <w:rFonts w:ascii="Times New Roman CYR" w:hAnsi="Times New Roman CYR" w:cs="Times New Roman CYR"/>
          <w:sz w:val="24"/>
          <w:szCs w:val="24"/>
        </w:rPr>
        <w:tab/>
        <w:t>18</w:t>
      </w:r>
      <w:r>
        <w:rPr>
          <w:rFonts w:ascii="Times New Roman CYR" w:hAnsi="Times New Roman CYR" w:cs="Times New Roman CYR"/>
          <w:sz w:val="24"/>
          <w:szCs w:val="24"/>
        </w:rPr>
        <w:tab/>
        <w:t>(17)</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вiд перерахунку заборгованостi нерезидентiв були отриманi прибутки, якi на 289 тис.грн. збiльшилися у порiвняннi з показниками 2023року.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на операцiї з перерахунку заборгованостей.</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2024рiк</w:t>
      </w:r>
      <w:r>
        <w:rPr>
          <w:rFonts w:ascii="Times New Roman CYR" w:hAnsi="Times New Roman CYR" w:cs="Times New Roman CYR"/>
          <w:sz w:val="24"/>
          <w:szCs w:val="24"/>
        </w:rPr>
        <w:tab/>
        <w:t>2023рiк</w:t>
      </w:r>
      <w:r>
        <w:rPr>
          <w:rFonts w:ascii="Times New Roman CYR" w:hAnsi="Times New Roman CYR" w:cs="Times New Roman CYR"/>
          <w:sz w:val="24"/>
          <w:szCs w:val="24"/>
        </w:rPr>
        <w:tab/>
        <w:t>змiна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курсових рiзниць</w:t>
      </w:r>
      <w:r>
        <w:rPr>
          <w:rFonts w:ascii="Times New Roman CYR" w:hAnsi="Times New Roman CYR" w:cs="Times New Roman CYR"/>
          <w:sz w:val="24"/>
          <w:szCs w:val="24"/>
        </w:rPr>
        <w:tab/>
        <w:t xml:space="preserve">          503</w:t>
      </w:r>
      <w:r>
        <w:rPr>
          <w:rFonts w:ascii="Times New Roman CYR" w:hAnsi="Times New Roman CYR" w:cs="Times New Roman CYR"/>
          <w:sz w:val="24"/>
          <w:szCs w:val="24"/>
        </w:rPr>
        <w:tab/>
        <w:t>282</w:t>
      </w:r>
      <w:r>
        <w:rPr>
          <w:rFonts w:ascii="Times New Roman CYR" w:hAnsi="Times New Roman CYR" w:cs="Times New Roman CYR"/>
          <w:sz w:val="24"/>
          <w:szCs w:val="24"/>
        </w:rPr>
        <w:tab/>
        <w:t>221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курсових рiзниць</w:t>
      </w:r>
      <w:r>
        <w:rPr>
          <w:rFonts w:ascii="Times New Roman CYR" w:hAnsi="Times New Roman CYR" w:cs="Times New Roman CYR"/>
          <w:sz w:val="24"/>
          <w:szCs w:val="24"/>
        </w:rPr>
        <w:tab/>
        <w:t xml:space="preserve">          (15)</w:t>
      </w:r>
      <w:r>
        <w:rPr>
          <w:rFonts w:ascii="Times New Roman CYR" w:hAnsi="Times New Roman CYR" w:cs="Times New Roman CYR"/>
          <w:sz w:val="24"/>
          <w:szCs w:val="24"/>
        </w:rPr>
        <w:tab/>
        <w:t>(83)</w:t>
      </w:r>
      <w:r>
        <w:rPr>
          <w:rFonts w:ascii="Times New Roman CYR" w:hAnsi="Times New Roman CYR" w:cs="Times New Roman CYR"/>
          <w:sz w:val="24"/>
          <w:szCs w:val="24"/>
        </w:rPr>
        <w:tab/>
        <w:t>68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Вплив валютних рiзниць на дiяльнiсть          488</w:t>
      </w:r>
      <w:r>
        <w:rPr>
          <w:rFonts w:ascii="Times New Roman CYR" w:hAnsi="Times New Roman CYR" w:cs="Times New Roman CYR"/>
          <w:sz w:val="24"/>
          <w:szCs w:val="24"/>
        </w:rPr>
        <w:tab/>
        <w:t>199</w:t>
      </w:r>
      <w:r>
        <w:rPr>
          <w:rFonts w:ascii="Times New Roman CYR" w:hAnsi="Times New Roman CYR" w:cs="Times New Roman CYR"/>
          <w:sz w:val="24"/>
          <w:szCs w:val="24"/>
        </w:rPr>
        <w:tab/>
        <w:t>289</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поданiй нижче таблицi наведено концентрацiю валютного ризику Товариства (щодо курсу обмiну гривнi до долара США) станом на кiнець звiтного перiоду: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31 грудня 2024р.    31 грудня2023р.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Монетарнi фiнансовi активи з урахуванням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нарахованого резерву очiкуваних кредитних збиткiв</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Монетарнi фiнансовi зобов'язання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балансова позицiя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Таким чином, валютний ризик вiд збiльшення валютних курсiв поточного року для пiдприємства не iснує.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Цiновий ризик. Товариство не наражається на цiновий ризик у вiдношеннi до фiнансової звiтностi, оскiльки не має значних iнвестицiй в цiннi папери та фiнансовi iнструменти, якi наражали б його на цiновий ризик.</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лiквiдностi. Ризик лiквiдностi - це ризик того, що пiдприємство зiткнеться з труднощами при виконаннi зобов'язань, пов'язаних з фiнансовими зобов'язаннями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Обачнiсть при управлiннi ризиком лiквiдностi передбачає наявнiсть достатньої суми грошових коштiв, а також наявнiсть достатнiх фiнансових ресурсiв для задоволення зобов'язань в момент, коли настає строк їхнього погашення. Управлiння поточною лiквiднiстю пiдприємства здiйснюється шляхом контролю сум дебiторської та кредиторської заборгованостi i витрат на програми капiтальних iнвестицiй. Для управлiння лiквiднiстю </w:t>
      </w:r>
      <w:r>
        <w:rPr>
          <w:rFonts w:ascii="Times New Roman CYR" w:hAnsi="Times New Roman CYR" w:cs="Times New Roman CYR"/>
          <w:sz w:val="24"/>
          <w:szCs w:val="24"/>
        </w:rPr>
        <w:lastRenderedPageBreak/>
        <w:t>пiдприємства широко використовується практика передоплати.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Нижче в таблицi показанi зобов'язання пiдприємства за зазначеними в угодах строками погашення, що залишилися до сплати. Суми, показанi у таблицi аналiзу за строками, - це недисконтованi грошовi потоки згiдно з договорами. Цi недисконтованi грошовi потоки вiдрiзняються вiд сум вiдображених у звiтi про фiнансовий стан, оскiльки суми у звiтi про фiнансовий стан вiдображенi на основi дисконтованих грошових потокiв.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Далi подано аналiз фiнансових зобов'язань за строками погашення станом на 31 грудня 2024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до 12 мiсяцiв    вiд 12 до 18 мiсяцiв     вiд 18 до 36 мiсяцiв</w:t>
      </w:r>
      <w:r>
        <w:rPr>
          <w:rFonts w:ascii="Times New Roman CYR" w:hAnsi="Times New Roman CYR" w:cs="Times New Roman CYR"/>
          <w:sz w:val="24"/>
          <w:szCs w:val="24"/>
        </w:rPr>
        <w:tab/>
        <w:t>понад 36 мiсяцiв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кредиторська заборгованiсть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товари, роботи, послуги (рядок1615)</w:t>
      </w:r>
      <w:r>
        <w:rPr>
          <w:rFonts w:ascii="Times New Roman CYR" w:hAnsi="Times New Roman CYR" w:cs="Times New Roman CYR"/>
          <w:sz w:val="24"/>
          <w:szCs w:val="24"/>
        </w:rPr>
        <w:tab/>
        <w:t>6178</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Далi подано аналiз фiнансових зобов'язань за строками погашення станом на 31 грудня 2023 року: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до 12 мiсяцiв</w:t>
      </w:r>
      <w:r>
        <w:rPr>
          <w:rFonts w:ascii="Times New Roman CYR" w:hAnsi="Times New Roman CYR" w:cs="Times New Roman CYR"/>
          <w:sz w:val="24"/>
          <w:szCs w:val="24"/>
        </w:rPr>
        <w:tab/>
        <w:t xml:space="preserve">   вiд 12 до 18 мiсяцiв      вiд 18 до 36 мiсяцiв</w:t>
      </w:r>
      <w:r>
        <w:rPr>
          <w:rFonts w:ascii="Times New Roman CYR" w:hAnsi="Times New Roman CYR" w:cs="Times New Roman CYR"/>
          <w:sz w:val="24"/>
          <w:szCs w:val="24"/>
        </w:rPr>
        <w:tab/>
        <w:t>понад 36 мiсяцiв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кредиторська заборгованiсть за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 роботи, послуги (рядок1615)</w:t>
      </w:r>
      <w:r>
        <w:rPr>
          <w:rFonts w:ascii="Times New Roman CYR" w:hAnsi="Times New Roman CYR" w:cs="Times New Roman CYR"/>
          <w:sz w:val="24"/>
          <w:szCs w:val="24"/>
        </w:rPr>
        <w:tab/>
        <w:t xml:space="preserve">          4 239                    6 068</w:t>
      </w:r>
      <w:r>
        <w:rPr>
          <w:rFonts w:ascii="Times New Roman CYR" w:hAnsi="Times New Roman CYR" w:cs="Times New Roman CYR"/>
          <w:sz w:val="24"/>
          <w:szCs w:val="24"/>
        </w:rPr>
        <w:tab/>
        <w:t xml:space="preserve">               1 888</w:t>
      </w:r>
      <w:r>
        <w:rPr>
          <w:rFonts w:ascii="Times New Roman CYR" w:hAnsi="Times New Roman CYR" w:cs="Times New Roman CYR"/>
          <w:sz w:val="24"/>
          <w:szCs w:val="24"/>
        </w:rPr>
        <w:tab/>
        <w:t xml:space="preserve">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ризиком достатностi капiталу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Товариства при управлiннi капiталом є забезпечення подальшої роботи в якостi безперервно дiючого пiдприємства, щоб приносити прибуток акцiонерам i вигоди iншим зацiкавленим сторонам, а також пiдтримувати оптимальну структуру капiталу для зменшення його вартостi. Для пiдтримки або коригування структури капiталу Товариство може коригувати суму дивiдендiв, що виплачуються акцiонерам, повертати капiтал акцiонерам, випускати новi акцiї або продавати активи для зменшення суми боргу.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вважає, що загальна сума капiталу, управлiння яким здiйснюється, дорiвнює сумi капiталу, вiдображеного в балансi.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Склад власного капiталу на дату фiнансової звiтностi</w:t>
      </w:r>
      <w:r>
        <w:rPr>
          <w:rFonts w:ascii="Times New Roman CYR" w:hAnsi="Times New Roman CYR" w:cs="Times New Roman CYR"/>
          <w:sz w:val="24"/>
          <w:szCs w:val="24"/>
        </w:rPr>
        <w:tab/>
        <w:t>76 333     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Зареєстрований капiтал (оплачений капiтал)</w:t>
      </w:r>
      <w:r>
        <w:rPr>
          <w:rFonts w:ascii="Times New Roman CYR" w:hAnsi="Times New Roman CYR" w:cs="Times New Roman CYR"/>
          <w:sz w:val="24"/>
          <w:szCs w:val="24"/>
        </w:rPr>
        <w:tab/>
        <w:t xml:space="preserve">                     109</w:t>
      </w:r>
      <w:r>
        <w:rPr>
          <w:rFonts w:ascii="Times New Roman CYR" w:hAnsi="Times New Roman CYR" w:cs="Times New Roman CYR"/>
          <w:sz w:val="24"/>
          <w:szCs w:val="24"/>
        </w:rPr>
        <w:tab/>
        <w:t>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Нерозподiлений прибуток (непокритий збиток)</w:t>
      </w:r>
      <w:r>
        <w:rPr>
          <w:rFonts w:ascii="Times New Roman CYR" w:hAnsi="Times New Roman CYR" w:cs="Times New Roman CYR"/>
          <w:sz w:val="24"/>
          <w:szCs w:val="24"/>
        </w:rPr>
        <w:tab/>
        <w:t>75 630</w:t>
      </w:r>
      <w:r>
        <w:rPr>
          <w:rFonts w:ascii="Times New Roman CYR" w:hAnsi="Times New Roman CYR" w:cs="Times New Roman CYR"/>
          <w:sz w:val="24"/>
          <w:szCs w:val="24"/>
        </w:rPr>
        <w:tab/>
        <w:t>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Резервний капiтал</w:t>
      </w:r>
      <w:r>
        <w:rPr>
          <w:rFonts w:ascii="Times New Roman CYR" w:hAnsi="Times New Roman CYR" w:cs="Times New Roman CYR"/>
          <w:sz w:val="24"/>
          <w:szCs w:val="24"/>
        </w:rPr>
        <w:tab/>
        <w:t xml:space="preserve">                                                     594</w:t>
      </w:r>
      <w:r>
        <w:rPr>
          <w:rFonts w:ascii="Times New Roman CYR" w:hAnsi="Times New Roman CYR" w:cs="Times New Roman CYR"/>
          <w:sz w:val="24"/>
          <w:szCs w:val="24"/>
        </w:rPr>
        <w:tab/>
        <w:t>тис. грн.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i iншi пiдприємства, що працюють у тiй же галузi, Товариство контролює величину капiталу на пiдставi спiввiдношення власних i позикових коштiв. Це спiввiдношення розраховується як чиста сума зобов'язань, роздiлена на загальну суму капiталу, управлiння яким здiйснюється. Чиста сума зобов'язань розраховується з рахуванням суми позикових коштiв (включаючи поточнi i довгостроковi позиковi кошти, показанi у звiтi про фiнансовий стан) мiнус грошовi кошти та їх еквiваленти. Загальна сума капiталу, управлiння яким здiйснює Товариство, дорiвнює власному капiталу, показаному в звiтi про фiнансовий стан.</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ще не визначило оптимальне для себе спiввiдношення власних i позикових коштiв.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w:t>
      </w:r>
      <w:r>
        <w:rPr>
          <w:rFonts w:ascii="Times New Roman CYR" w:hAnsi="Times New Roman CYR" w:cs="Times New Roman CYR"/>
          <w:sz w:val="24"/>
          <w:szCs w:val="24"/>
        </w:rPr>
        <w:tab/>
        <w:t xml:space="preserve">                                                 31 грудня 2024р.</w:t>
      </w:r>
      <w:r>
        <w:rPr>
          <w:rFonts w:ascii="Times New Roman CYR" w:hAnsi="Times New Roman CYR" w:cs="Times New Roman CYR"/>
          <w:sz w:val="24"/>
          <w:szCs w:val="24"/>
        </w:rPr>
        <w:tab/>
        <w:t>31 грудня 2023р.</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сума зобов'язань</w:t>
      </w:r>
      <w:r>
        <w:rPr>
          <w:rFonts w:ascii="Times New Roman CYR" w:hAnsi="Times New Roman CYR" w:cs="Times New Roman CYR"/>
          <w:sz w:val="24"/>
          <w:szCs w:val="24"/>
        </w:rPr>
        <w:tab/>
        <w:t xml:space="preserve">                                         5572</w:t>
      </w:r>
      <w:r>
        <w:rPr>
          <w:rFonts w:ascii="Times New Roman CYR" w:hAnsi="Times New Roman CYR" w:cs="Times New Roman CYR"/>
          <w:sz w:val="24"/>
          <w:szCs w:val="24"/>
        </w:rPr>
        <w:tab/>
        <w:t>36508</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капiталу</w:t>
      </w:r>
      <w:r>
        <w:rPr>
          <w:rFonts w:ascii="Times New Roman CYR" w:hAnsi="Times New Roman CYR" w:cs="Times New Roman CYR"/>
          <w:sz w:val="24"/>
          <w:szCs w:val="24"/>
        </w:rPr>
        <w:tab/>
        <w:t xml:space="preserve">                                                       76333</w:t>
      </w:r>
      <w:r>
        <w:rPr>
          <w:rFonts w:ascii="Times New Roman CYR" w:hAnsi="Times New Roman CYR" w:cs="Times New Roman CYR"/>
          <w:sz w:val="24"/>
          <w:szCs w:val="24"/>
        </w:rPr>
        <w:tab/>
        <w:t>94601</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Спiввiдношення зобов'язань та капiталу, %</w:t>
      </w:r>
      <w:r>
        <w:rPr>
          <w:rFonts w:ascii="Times New Roman CYR" w:hAnsi="Times New Roman CYR" w:cs="Times New Roman CYR"/>
          <w:sz w:val="24"/>
          <w:szCs w:val="24"/>
        </w:rPr>
        <w:tab/>
        <w:t xml:space="preserve">          46,6</w:t>
      </w:r>
      <w:r>
        <w:rPr>
          <w:rFonts w:ascii="Times New Roman CYR" w:hAnsi="Times New Roman CYR" w:cs="Times New Roman CYR"/>
          <w:sz w:val="24"/>
          <w:szCs w:val="24"/>
        </w:rPr>
        <w:tab/>
        <w:t>38,6</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Балансова вартiсть фiнансових iнструментiв Товариства приблизно дорiвнює їх справедливiй вартостi.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Справедлива вартiсть таких фiнансових iнструментiв як грошовi кошти, поточна дебiторська та кредиторська заборгованостi дорiвнює їх балансовiй вартостi в зв'язку з тим, що данi фiнансовi iнструменти мають короткостроковий характер. Справедлива вартiсть фiнансових зобов'язань оцiнюється шляхом дисконтування майбутнiх договiрних грошових потокiв з використанням доступної для Товариства поточної ринкової процентної ставки </w:t>
      </w:r>
      <w:r>
        <w:rPr>
          <w:rFonts w:ascii="Times New Roman CYR" w:hAnsi="Times New Roman CYR" w:cs="Times New Roman CYR"/>
          <w:sz w:val="24"/>
          <w:szCs w:val="24"/>
        </w:rPr>
        <w:lastRenderedPageBreak/>
        <w:t>для аналогiчних фiнансових iнструментiв.</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Активи на окупованих територiях</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зазначено у Примiтцi 2.3, з 24 лютого 2022 року росiйською федерацiєю розпочато повномасштабне вiйськове вторгнення в Україну. Враховуючи обставини викликанi воєнними дiями росiйської федерацiї та окупацiєю частини територiї Запорiзької областi, Товариство визнало частину майна, яка знаходиться на цiй територiї, а саме: база вiдпочинку "Кристал" (мiсцезнаходження: пмт. Кирилiвка). До складу активiв входить: земельна дiлянка, примiщення та обладнання для проживання на базi та матерiальнi активи. Керiвництво визнає умови унеможливлення ведення бiзнесу на базi вiдпочинку Товариства, в вiдсутностi фiзичного доступу та втрати контролю над активами, розташованими на тимчасово окупованiй територiї Запорiзької областi. Станом на 31 грудня 2022 року Товариство визначило перелiк необоротних активiв, товарно-матерiальних цiнностей, що знаходяться на тимчасово окупованiй територiї та провело знецiнення вiдповiдних активiв. Пiдприємством станом на 31.12.2022 визнано знецiнення земельної дiлянки та об'єктiв соцiального призначення, що залишились на окупованiй територiї. Залишкова вартiсть таких об'єктiв складає 2 698 тис. грн., в тому числi вартiсть земельної дiлянки 904 тис. грн. Разом з тим, керiвництво не має на дату надання звiтностi iнформацiї щодо стану цих активiв; вiдсутнi данi щодо розкрадання оборотних активiв та майна або пошкоджень необоротних активiв. У Товариства вiдсутня можливiсть збору пiдтверджень та проведення iнвентаризацiї за цими активами.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Впродовж 2024 року Товариство не проводило знецiнення необоротних активiв, що знаходяться на тимчасово окупованих територiях.</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Впродовж 2024 року Товариство перелiк активiв на окупованих територiях не змiнився.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Пiсля звiльнення окупованих територiй та безпечної можливостi фiзичного доступу до активiв, якi знаходяться на базi вiдпочинку "Кристал" Товариством буде проведено iнвентаризацiю активiв з метою виявлення втрат та їх порiвняння з фактичною наявнiстю та стану активiв за даними бухгалтерського облiку.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Припущення щодо функцiонування пiдприємства у найближчому майбутньому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Дана фiнансова звiтнiсть пiдготовлена на основi припущення про безперервнiсть дiяльностi пiдприємства як дiючого пiдприємства в найближчому майбутньому, що передбачає реалiзацiю активiв та погашення зобов'язань у ходi звичайної дiяльностi. Припущення стосовно функцiонування пiдприємства у найближчому майбутньому зроблено на пiдставi розрахунку, який охоплює 12 мiсяцiв вiд звiтної дати.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Управлiнським персоналом проводилась оцiнка iснування негативних подiй, якi можуть мати вплив на здатнiсть пiдприємства продовжувати </w:t>
      </w:r>
      <w:r>
        <w:rPr>
          <w:rFonts w:ascii="Times New Roman CYR" w:hAnsi="Times New Roman CYR" w:cs="Times New Roman CYR"/>
          <w:sz w:val="24"/>
          <w:szCs w:val="24"/>
        </w:rPr>
        <w:lastRenderedPageBreak/>
        <w:t>дiяльнiсть на безперервнiй основi.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Пiдприємство веде свою дiяльнiсть в нестабiльному середовищi, яке iснує на даний час в Українi, i вiдсутнє чiтко уявлення про заходи, щодо подолання iснуючої кризи. Основним фактором нестабiльностi є в першу чергу вiйськова агресiя рф проти України.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умовах запровадження спецiального правового режиму воєнного стану в Українi для вiтчизняних пiдприємств актуалiзується критично важливе завдання - забезпечення економiчної безпеки, оскiльки вони зазнають збиткiв через активнi бойовi дiї та постiйнi обстрiли, через обмеженiсть, а в окремих випадних i нестачу сировини, через нестабiльнiсть енергопостачання, через масовий вiдтiк робочої сили за межi країни.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проблемами для бiзнесу в Українi у 2024р. були: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проблеми з електроенергiєю та iншими комунiкацiями;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зростання цiни на сировину та на товари;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складнощi iз логiстикою в межах України та за її межi;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розрив ланцюгiв постачання;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зменшення споживчого попиту на продукцiю, послуги, товари;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дефiцит робочої сили.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Зазначенi проблеми iстотно знижують рiвень безпеки вiтчизняних суб'єктiв господарювання та обумовлюють необхiднiсть здiйснення пiдприємствами пошуку ефективних шляхiв виходу з кризової ситуацiї.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Iз зазначеного випливає, що економiчна безпека пiдприємства - це стан та рiвень захищеностi всiх видiв його потенцiалу вiд внутрiшнiх i зовнiшнiх загроз, що забезпечує стабiльне функцiонування та виконання функцiй.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Окресленi проблеми можна вважати ключовими загрозами економiчнiй безпецi пiдприємства, оскiльки вони є тими явищами i процесами, що негативно впливають на дiяльнiсть, порушуючи при цьому економiчнi iнтереси.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чином, рiвень економiчної безпеки пiдприємства в умовах вiйни рф в Українi суттєво знижується.</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Цi подiї та умови разом з кризовими явищами, якi значно поглибились пiсля початку вiйни проти України, вказують, що iснує суттєва невизначенiсть, що може поставити пiд сумнiв здатнiсть Пiдприємства продовжувати свою дiяльнiсть на безперервнiй основi. На сьогоднiшнiй день Пiдприємство здiйснює оцiнку суттєвої невизначеностi безперервностi дiяльностi.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Як iснуюча незалежна пом'якшувальна дiя для зниження сумнiвiв щодо безперервностi дiяльностi, є територiальне розташування пiдприємства. </w:t>
      </w:r>
      <w:r>
        <w:rPr>
          <w:rFonts w:ascii="Times New Roman CYR" w:hAnsi="Times New Roman CYR" w:cs="Times New Roman CYR"/>
          <w:sz w:val="24"/>
          <w:szCs w:val="24"/>
        </w:rPr>
        <w:lastRenderedPageBreak/>
        <w:t>ПрАТ "Запорiжсклофлюс" розташоване у м. Запорiжжя, яке на дату пiдготовки цих примiток знаходиться на пiдконтрольнiй Уряду України територiї та не є мiсцем активних бойових дiй.</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Ситуацiя продовжує змiнюватися, тому неможливо передбачити та надiйно оцiнити кiлькiсний вплив зазначених подiй на фiнансовий стан i фiнансовi результати дiяльностi у 2025 роцi.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даний момент Пiдприємство проводить аналiз змiн логiстичних каналiв, спроможностi контрагентiв постачати сировину або можливостi пiдприємства доставляти до покупця готову продукцiю.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Припущення щодо безперервностi дiяльностi ПрАТ "Запорiжсклофлюс" формувалось виходячи з професiйного судження керiвництва, що врахувало фiнансовий стан Пiдприємства, iснуючi намiри, щодо дiяльностi в майбутньому та доступ до фiнансових ресурсiв, а також вплив поточної фiнансової та економiчної ситуацiї на майбутню дiяльнiсть Пiдприємства. Проте у зв'язку з продовженням бойових дiй на територiї Запорiзької областi пiдприємство буде спостерiгати за ситуацiєю та готове буде внести коригування до фiнансової звiтностi за необхiдностi.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Через вiйськовi дiї Товариство тимчасово втратило контроль над базою вiдпочинку "Кристал"., яка знаходиться в пмт Кирилiвка  Запорiзької областi. Iнформацiю про такi активи розкрито в примiтцi 22.</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Управлiнський персонал пiдприємства не має намiрiв лiквiдувати Пiдприємство чи припинити його дiяльнiсть та вживає необхiдних заходiв для пiдтримки стiйкостi i збереження бiзнесу компанiї в нинiшнiх умовах. Керiвництво вважає, що Пiдприємство буде продовжувати дiяльнiсть як безперервно дiюче. Це припущення грунтується на поточних намiрах та фiнансовому станi Пiдприємства.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чином, фiнансова звiтнiсть не включає коригування, якi необхiдно було б провести в тому випадку, якби Товариство не могло продовжити подальше здiйснення фiнансово-господарської дiяльностi вiдповiдно до принципiв безперервностi дiяльностi. Оцiнюючи доречнiсть припущення про безперервнiсть, управлiнський персонал бере до уваги всю наявну iнформацiю щодо майбутнього - щонайменше на 12 мiсяцiв з кiнця звiтного перiоду, але не обмежуючись цим перiодом.</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Припущення щодо безперервностi дiяльностi Товариства формувалось виходячи з професiйного судження керiвництва, що врахувало фiнансовий стан Товариства, iснуючi намiри, щодо дiяльностi в майбутньому та доступ до фiнансових ресурсiв, а також вплив поточної фiнансової та економiчної ситуацiї на майбутню дiяльнiсть Товариства. Проте у зв'язку з продовженням бойових дiй на територiї Запорiзької областi пiдприємство буде спостерiгати за ситуацiєю та готове буде внести коригування до фiнансової звiтностi за необхiдностi.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Подiї пiсля дати балансу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продовжує працювати в умовах воєнного конфлiкту з рф та з дати подання рiчної фiнансової звiтностi 2024 року суттєвих змiн у роботi ПрАТ "Запорiжсклофлюс" не вiдбулось.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складання звiтностi Товариством не було встановлено подiй, якi б вплинули на показники фiнансової звiтностi та могли б вимагати змiн наданої iнформацiї.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якi вiдбулися пiсля звiтної дати, вiдображаються в примiтках до фiнансової звiтностi, якщо вони є суттєвими:</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Подiя</w:t>
      </w:r>
      <w:r>
        <w:rPr>
          <w:rFonts w:ascii="Times New Roman CYR" w:hAnsi="Times New Roman CYR" w:cs="Times New Roman CYR"/>
          <w:sz w:val="24"/>
          <w:szCs w:val="24"/>
        </w:rPr>
        <w:tab/>
        <w:t xml:space="preserve">                                                                                                                                       Наявнiсть</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Прийняття рiшення щодо реорганiзацiї Товариства</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Оголошення плану про припинення дiяльностi</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Оголошення про значну реструктуризацiю або про початок її запровадження</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Iстотнi придбання активiв, класифiкацiя активiв як утримуваних для продажу,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вибуття активiв або експропрiацiя значних активiв урядом</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Знищення (втрата) активiв Товариства внаслiдок пожежi, аварiї, стихiйного лиха або iншої надзвичайної подiї</w:t>
      </w:r>
      <w:r>
        <w:rPr>
          <w:rFonts w:ascii="Times New Roman CYR" w:hAnsi="Times New Roman CYR" w:cs="Times New Roman CYR"/>
          <w:sz w:val="24"/>
          <w:szCs w:val="24"/>
        </w:rPr>
        <w:tab/>
        <w:t>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Значнi операцiї зi звичайними акцiями та операцiї з потенцiйними звичайними акцiями пiсля дати балансу</w:t>
      </w:r>
      <w:r>
        <w:rPr>
          <w:rFonts w:ascii="Times New Roman CYR" w:hAnsi="Times New Roman CYR" w:cs="Times New Roman CYR"/>
          <w:sz w:val="24"/>
          <w:szCs w:val="24"/>
        </w:rPr>
        <w:tab/>
        <w:t>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Надзвичайно великi змiни пiсля звiтного перiоду в цiнах на активи або в курсах обмiну iноземних валют</w:t>
      </w:r>
      <w:r>
        <w:rPr>
          <w:rFonts w:ascii="Times New Roman CYR" w:hAnsi="Times New Roman CYR" w:cs="Times New Roman CYR"/>
          <w:sz w:val="24"/>
          <w:szCs w:val="24"/>
        </w:rPr>
        <w:tab/>
        <w:t>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Прийняття законодавчих актiв, якi впливають на дiяльнiсть Товариства</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значних зобов'язань або непередбачених зобов'язань, наприклад, унаслiдок надання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значних гарантiй</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Початок крупного судового процесу, що виник виключно внаслiдок подiй, якi вiдбулися пiсля дати балансу</w:t>
      </w:r>
      <w:r>
        <w:rPr>
          <w:rFonts w:ascii="Times New Roman CYR" w:hAnsi="Times New Roman CYR" w:cs="Times New Roman CYR"/>
          <w:sz w:val="24"/>
          <w:szCs w:val="24"/>
        </w:rPr>
        <w:tab/>
        <w:t>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Оголошення банкротом дебiтора Товариства, заборгованiсть якого ранiше була визнана сумнiвною.</w:t>
      </w:r>
      <w:r>
        <w:rPr>
          <w:rFonts w:ascii="Times New Roman CYR" w:hAnsi="Times New Roman CYR" w:cs="Times New Roman CYR"/>
          <w:sz w:val="24"/>
          <w:szCs w:val="24"/>
        </w:rPr>
        <w:tab/>
        <w:t xml:space="preserve">                нi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iз тим, що пiдприємство за наслiдками дiяльностi у 2023-2024 роках вiдповiдає категорiї малого пiдприємства, ПРАТ "Запорiжсклофлюс" прийняло рiшення iз 01.01.2025 року вести облiк за Нацiональними положеннями (стандартами) бухгалтерського облiку. </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ПРО ЗАТВЕРЖЕННЯ ФIНАНСОВОЇ ЗВIТНОСТI</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затверджена до випуску (з метою оприлюднення ) генеральним директором Товариства  17 березня 2025 року. Нi учасники нi iншi особи не мають права вносити змiни до цiєї звiтностi  пiсля її затвердження до випуску.</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9E61E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Володимир НЕТЯГА</w:t>
      </w: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E11C64" w:rsidRDefault="00E11C64">
      <w:pPr>
        <w:widowControl w:val="0"/>
        <w:autoSpaceDE w:val="0"/>
        <w:autoSpaceDN w:val="0"/>
        <w:adjustRightInd w:val="0"/>
        <w:spacing w:after="0" w:line="240" w:lineRule="auto"/>
        <w:jc w:val="both"/>
        <w:rPr>
          <w:rFonts w:ascii="Times New Roman CYR" w:hAnsi="Times New Roman CYR" w:cs="Times New Roman CYR"/>
          <w:sz w:val="24"/>
          <w:szCs w:val="24"/>
        </w:rPr>
      </w:pPr>
    </w:p>
    <w:p w:rsidR="009E61E1" w:rsidRDefault="009E61E1" w:rsidP="009B241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 головного бухгалтера                                                          Свiтлана ХИЖНЯК</w:t>
      </w:r>
    </w:p>
    <w:sectPr w:rsidR="009E61E1" w:rsidSect="00E11C64">
      <w:pgSz w:w="16838" w:h="11906" w:orient="landscape"/>
      <w:pgMar w:top="570" w:right="720" w:bottom="570" w:left="72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22A3"/>
    <w:rsid w:val="00050D74"/>
    <w:rsid w:val="006022A3"/>
    <w:rsid w:val="009B2419"/>
    <w:rsid w:val="009E61E1"/>
    <w:rsid w:val="00E11C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C6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157</Pages>
  <Words>58658</Words>
  <Characters>334351</Characters>
  <Application>Microsoft Office Word</Application>
  <DocSecurity>0</DocSecurity>
  <Lines>2786</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Врублевская Татьяна</dc:creator>
  <cp:keywords/>
  <dc:description/>
  <cp:lastModifiedBy>Врублевская Татьяна</cp:lastModifiedBy>
  <cp:revision>3</cp:revision>
  <dcterms:created xsi:type="dcterms:W3CDTF">2025-07-29T11:54:00Z</dcterms:created>
  <dcterms:modified xsi:type="dcterms:W3CDTF">2025-07-29T12:09:00Z</dcterms:modified>
</cp:coreProperties>
</file>